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27" w:rsidRPr="0071397D" w:rsidRDefault="00F37427" w:rsidP="00F37427">
      <w:pPr>
        <w:pStyle w:val="Heading1"/>
        <w:rPr>
          <w:b w:val="0"/>
        </w:rPr>
      </w:pPr>
      <w:r w:rsidRPr="0071397D">
        <w:rPr>
          <w:b w:val="0"/>
        </w:rPr>
        <w:t>STATE OF NORTH CAROLINA</w:t>
      </w:r>
      <w:r w:rsidRPr="0071397D">
        <w:rPr>
          <w:b w:val="0"/>
        </w:rPr>
        <w:tab/>
      </w:r>
      <w:r w:rsidRPr="0071397D">
        <w:rPr>
          <w:b w:val="0"/>
        </w:rPr>
        <w:tab/>
        <w:t>IN THE GENERAL COURT OF JUSTICE</w:t>
      </w:r>
    </w:p>
    <w:p w:rsidR="00F37427" w:rsidRPr="0071397D" w:rsidRDefault="00F37427" w:rsidP="00F37427">
      <w:pPr>
        <w:jc w:val="both"/>
        <w:rPr>
          <w:rFonts w:ascii="Times New Roman" w:hAnsi="Times New Roman"/>
          <w:bCs/>
        </w:rPr>
      </w:pPr>
      <w:r w:rsidRPr="0071397D">
        <w:rPr>
          <w:rFonts w:ascii="Times New Roman" w:hAnsi="Times New Roman"/>
          <w:bCs/>
        </w:rPr>
        <w:t>COUNTY OF DURHAM</w:t>
      </w:r>
      <w:r w:rsidRPr="0071397D">
        <w:rPr>
          <w:rFonts w:ascii="Times New Roman" w:hAnsi="Times New Roman"/>
          <w:bCs/>
        </w:rPr>
        <w:tab/>
      </w:r>
      <w:r w:rsidRPr="0071397D">
        <w:rPr>
          <w:rFonts w:ascii="Times New Roman" w:hAnsi="Times New Roman"/>
          <w:bCs/>
        </w:rPr>
        <w:tab/>
      </w:r>
      <w:r w:rsidRPr="0071397D">
        <w:rPr>
          <w:rFonts w:ascii="Times New Roman" w:hAnsi="Times New Roman"/>
          <w:bCs/>
        </w:rPr>
        <w:tab/>
        <w:t>SUPERIOR COURT DIVISION</w:t>
      </w:r>
    </w:p>
    <w:p w:rsidR="00F37427" w:rsidRPr="0071397D" w:rsidRDefault="00F37427" w:rsidP="00F37427">
      <w:pPr>
        <w:jc w:val="both"/>
        <w:rPr>
          <w:rFonts w:ascii="Times New Roman" w:hAnsi="Times New Roman"/>
          <w:bCs/>
        </w:rPr>
      </w:pPr>
      <w:r w:rsidRPr="0071397D">
        <w:rPr>
          <w:rFonts w:ascii="Times New Roman" w:hAnsi="Times New Roman"/>
          <w:bCs/>
        </w:rPr>
        <w:tab/>
      </w:r>
      <w:r w:rsidRPr="0071397D">
        <w:rPr>
          <w:rFonts w:ascii="Times New Roman" w:hAnsi="Times New Roman"/>
          <w:bCs/>
        </w:rPr>
        <w:tab/>
      </w:r>
      <w:r w:rsidRPr="0071397D">
        <w:rPr>
          <w:rFonts w:ascii="Times New Roman" w:hAnsi="Times New Roman"/>
          <w:bCs/>
        </w:rPr>
        <w:tab/>
      </w:r>
      <w:r w:rsidRPr="0071397D">
        <w:rPr>
          <w:rFonts w:ascii="Times New Roman" w:hAnsi="Times New Roman"/>
          <w:bCs/>
        </w:rPr>
        <w:tab/>
      </w:r>
      <w:r w:rsidRPr="0071397D">
        <w:rPr>
          <w:rFonts w:ascii="Times New Roman" w:hAnsi="Times New Roman"/>
          <w:bCs/>
        </w:rPr>
        <w:tab/>
        <w:t xml:space="preserve">        </w:t>
      </w:r>
      <w:r w:rsidRPr="0071397D">
        <w:rPr>
          <w:rFonts w:ascii="Times New Roman" w:hAnsi="Times New Roman"/>
          <w:bCs/>
        </w:rPr>
        <w:tab/>
        <w:t xml:space="preserve">FILE NOS.  </w:t>
      </w:r>
      <w:r w:rsidRPr="0071397D">
        <w:rPr>
          <w:rFonts w:ascii="Times New Roman" w:hAnsi="Times New Roman"/>
          <w:bCs/>
        </w:rPr>
        <w:tab/>
        <w:t>16CRS2168-71</w:t>
      </w:r>
    </w:p>
    <w:p w:rsidR="00F37427" w:rsidRPr="0071397D" w:rsidRDefault="00F37427" w:rsidP="00F37427">
      <w:pPr>
        <w:tabs>
          <w:tab w:val="left" w:pos="6300"/>
        </w:tabs>
        <w:jc w:val="both"/>
        <w:rPr>
          <w:rFonts w:ascii="Times New Roman" w:hAnsi="Times New Roman"/>
          <w:bCs/>
        </w:rPr>
      </w:pPr>
      <w:r w:rsidRPr="0071397D">
        <w:rPr>
          <w:rFonts w:ascii="Times New Roman" w:hAnsi="Times New Roman"/>
          <w:bCs/>
        </w:rPr>
        <w:tab/>
      </w:r>
    </w:p>
    <w:tbl>
      <w:tblPr>
        <w:tblW w:w="9588" w:type="dxa"/>
        <w:tblLook w:val="01E0"/>
      </w:tblPr>
      <w:tblGrid>
        <w:gridCol w:w="4188"/>
        <w:gridCol w:w="360"/>
        <w:gridCol w:w="5040"/>
      </w:tblGrid>
      <w:tr w:rsidR="00F37427" w:rsidRPr="0071397D" w:rsidTr="009716E2">
        <w:tc>
          <w:tcPr>
            <w:tcW w:w="4188" w:type="dxa"/>
          </w:tcPr>
          <w:p w:rsidR="00F37427" w:rsidRPr="0071397D" w:rsidRDefault="00F37427" w:rsidP="009716E2">
            <w:pPr>
              <w:jc w:val="both"/>
              <w:rPr>
                <w:rFonts w:ascii="Times New Roman" w:hAnsi="Times New Roman"/>
                <w:bCs/>
              </w:rPr>
            </w:pPr>
            <w:r w:rsidRPr="0071397D">
              <w:rPr>
                <w:rFonts w:ascii="Times New Roman" w:hAnsi="Times New Roman"/>
                <w:bCs/>
              </w:rPr>
              <w:t>STATE OF NORTH CAROLINA</w:t>
            </w:r>
            <w:r w:rsidRPr="0071397D">
              <w:rPr>
                <w:rFonts w:ascii="Times New Roman" w:hAnsi="Times New Roman"/>
                <w:bCs/>
              </w:rPr>
              <w:tab/>
            </w:r>
          </w:p>
          <w:p w:rsidR="00F37427" w:rsidRPr="0071397D" w:rsidRDefault="00F37427" w:rsidP="009716E2">
            <w:pPr>
              <w:jc w:val="both"/>
              <w:rPr>
                <w:rFonts w:ascii="Times New Roman" w:hAnsi="Times New Roman"/>
                <w:bCs/>
              </w:rPr>
            </w:pPr>
          </w:p>
          <w:p w:rsidR="00F37427" w:rsidRPr="0071397D" w:rsidRDefault="00F37427" w:rsidP="009716E2">
            <w:pPr>
              <w:jc w:val="both"/>
              <w:rPr>
                <w:rFonts w:ascii="Times New Roman" w:hAnsi="Times New Roman"/>
                <w:bCs/>
              </w:rPr>
            </w:pPr>
            <w:proofErr w:type="gramStart"/>
            <w:r w:rsidRPr="0071397D">
              <w:rPr>
                <w:rFonts w:ascii="Times New Roman" w:hAnsi="Times New Roman"/>
                <w:bCs/>
              </w:rPr>
              <w:t>v</w:t>
            </w:r>
            <w:proofErr w:type="gramEnd"/>
            <w:r w:rsidRPr="0071397D">
              <w:rPr>
                <w:rFonts w:ascii="Times New Roman" w:hAnsi="Times New Roman"/>
                <w:bCs/>
              </w:rPr>
              <w:t>.</w:t>
            </w:r>
          </w:p>
          <w:p w:rsidR="00F37427" w:rsidRPr="0071397D" w:rsidRDefault="00F37427" w:rsidP="009716E2">
            <w:pPr>
              <w:jc w:val="both"/>
              <w:rPr>
                <w:rFonts w:ascii="Times New Roman" w:hAnsi="Times New Roman"/>
                <w:bCs/>
              </w:rPr>
            </w:pPr>
          </w:p>
          <w:p w:rsidR="00F37427" w:rsidRPr="0071397D" w:rsidRDefault="00F37427" w:rsidP="009716E2">
            <w:pPr>
              <w:jc w:val="both"/>
              <w:rPr>
                <w:rFonts w:ascii="Times New Roman" w:hAnsi="Times New Roman"/>
                <w:bCs/>
              </w:rPr>
            </w:pPr>
            <w:r w:rsidRPr="0071397D">
              <w:rPr>
                <w:rFonts w:ascii="Times New Roman" w:hAnsi="Times New Roman"/>
                <w:bCs/>
              </w:rPr>
              <w:t>TIMOTHY LEON MOORE</w:t>
            </w:r>
          </w:p>
        </w:tc>
        <w:tc>
          <w:tcPr>
            <w:tcW w:w="360" w:type="dxa"/>
            <w:hideMark/>
          </w:tcPr>
          <w:p w:rsidR="00F37427" w:rsidRPr="0071397D" w:rsidRDefault="00F37427" w:rsidP="009716E2">
            <w:pPr>
              <w:jc w:val="both"/>
              <w:rPr>
                <w:rFonts w:ascii="Times New Roman" w:hAnsi="Times New Roman"/>
                <w:bCs/>
              </w:rPr>
            </w:pPr>
            <w:r w:rsidRPr="0071397D">
              <w:rPr>
                <w:rFonts w:ascii="Times New Roman" w:hAnsi="Times New Roman"/>
                <w:bCs/>
              </w:rPr>
              <w:t>)</w:t>
            </w:r>
          </w:p>
          <w:p w:rsidR="00F37427" w:rsidRPr="0071397D" w:rsidRDefault="00F37427" w:rsidP="009716E2">
            <w:pPr>
              <w:jc w:val="both"/>
              <w:rPr>
                <w:rFonts w:ascii="Times New Roman" w:hAnsi="Times New Roman"/>
                <w:bCs/>
              </w:rPr>
            </w:pPr>
            <w:r w:rsidRPr="0071397D">
              <w:rPr>
                <w:rFonts w:ascii="Times New Roman" w:hAnsi="Times New Roman"/>
                <w:bCs/>
              </w:rPr>
              <w:t>)</w:t>
            </w:r>
          </w:p>
          <w:p w:rsidR="00F37427" w:rsidRPr="0071397D" w:rsidRDefault="00F37427" w:rsidP="009716E2">
            <w:pPr>
              <w:jc w:val="both"/>
              <w:rPr>
                <w:rFonts w:ascii="Times New Roman" w:hAnsi="Times New Roman"/>
                <w:bCs/>
              </w:rPr>
            </w:pPr>
            <w:r w:rsidRPr="0071397D">
              <w:rPr>
                <w:rFonts w:ascii="Times New Roman" w:hAnsi="Times New Roman"/>
                <w:bCs/>
              </w:rPr>
              <w:t>)</w:t>
            </w:r>
          </w:p>
          <w:p w:rsidR="00F37427" w:rsidRPr="0071397D" w:rsidRDefault="00F37427" w:rsidP="009716E2">
            <w:pPr>
              <w:jc w:val="both"/>
              <w:rPr>
                <w:rFonts w:ascii="Times New Roman" w:hAnsi="Times New Roman"/>
                <w:bCs/>
              </w:rPr>
            </w:pPr>
            <w:r w:rsidRPr="0071397D">
              <w:rPr>
                <w:rFonts w:ascii="Times New Roman" w:hAnsi="Times New Roman"/>
                <w:bCs/>
              </w:rPr>
              <w:t>)</w:t>
            </w:r>
          </w:p>
          <w:p w:rsidR="00F37427" w:rsidRPr="0071397D" w:rsidRDefault="00F37427" w:rsidP="009716E2">
            <w:pPr>
              <w:jc w:val="both"/>
              <w:rPr>
                <w:rFonts w:ascii="Times New Roman" w:hAnsi="Times New Roman"/>
                <w:bCs/>
              </w:rPr>
            </w:pPr>
            <w:r w:rsidRPr="0071397D">
              <w:rPr>
                <w:rFonts w:ascii="Times New Roman" w:hAnsi="Times New Roman"/>
                <w:bCs/>
              </w:rPr>
              <w:t>)</w:t>
            </w:r>
          </w:p>
        </w:tc>
        <w:tc>
          <w:tcPr>
            <w:tcW w:w="5040" w:type="dxa"/>
          </w:tcPr>
          <w:p w:rsidR="00F37427" w:rsidRPr="0071397D" w:rsidRDefault="00F37427" w:rsidP="009716E2">
            <w:pPr>
              <w:jc w:val="center"/>
              <w:rPr>
                <w:rFonts w:ascii="Times New Roman" w:hAnsi="Times New Roman"/>
                <w:bCs/>
                <w:u w:val="single"/>
              </w:rPr>
            </w:pPr>
          </w:p>
          <w:p w:rsidR="00F37427" w:rsidRPr="0071397D" w:rsidRDefault="00F37427" w:rsidP="009716E2">
            <w:pPr>
              <w:jc w:val="center"/>
              <w:rPr>
                <w:rFonts w:ascii="Times New Roman" w:hAnsi="Times New Roman"/>
                <w:bCs/>
              </w:rPr>
            </w:pPr>
            <w:r w:rsidRPr="0071397D">
              <w:rPr>
                <w:rFonts w:ascii="Times New Roman" w:hAnsi="Times New Roman"/>
                <w:bCs/>
              </w:rPr>
              <w:t xml:space="preserve"> </w:t>
            </w:r>
          </w:p>
        </w:tc>
      </w:tr>
    </w:tbl>
    <w:p w:rsidR="00F37427" w:rsidRPr="0071397D" w:rsidRDefault="00F37427" w:rsidP="00F37427">
      <w:pPr>
        <w:pBdr>
          <w:bottom w:val="single" w:sz="6" w:space="1" w:color="auto"/>
        </w:pBdr>
        <w:jc w:val="both"/>
        <w:rPr>
          <w:rFonts w:ascii="Times New Roman" w:hAnsi="Times New Roman"/>
          <w:b/>
          <w:u w:val="single"/>
        </w:rPr>
      </w:pPr>
      <w:r w:rsidRPr="0071397D">
        <w:rPr>
          <w:rFonts w:ascii="Times New Roman" w:hAnsi="Times New Roman"/>
        </w:rPr>
        <w:tab/>
      </w:r>
    </w:p>
    <w:p w:rsidR="00F37427" w:rsidRPr="0071397D" w:rsidRDefault="00F37427" w:rsidP="00F37427">
      <w:pPr>
        <w:rPr>
          <w:rFonts w:ascii="Times New Roman" w:hAnsi="Times New Roman"/>
        </w:rPr>
      </w:pPr>
    </w:p>
    <w:p w:rsidR="00F37427" w:rsidRPr="0011475F" w:rsidRDefault="0011475F" w:rsidP="00F37427">
      <w:pPr>
        <w:jc w:val="center"/>
        <w:rPr>
          <w:rFonts w:ascii="Times New Roman" w:hAnsi="Times New Roman"/>
          <w:b/>
        </w:rPr>
      </w:pPr>
      <w:r>
        <w:rPr>
          <w:rFonts w:ascii="Times New Roman" w:hAnsi="Times New Roman"/>
          <w:b/>
        </w:rPr>
        <w:t xml:space="preserve">MOTION </w:t>
      </w:r>
      <w:r>
        <w:rPr>
          <w:rFonts w:ascii="Times New Roman" w:hAnsi="Times New Roman"/>
          <w:b/>
          <w:i/>
        </w:rPr>
        <w:t>IN LIMINE</w:t>
      </w:r>
      <w:r>
        <w:rPr>
          <w:rFonts w:ascii="Times New Roman" w:hAnsi="Times New Roman"/>
          <w:b/>
        </w:rPr>
        <w:t xml:space="preserve"> TO EXCLUDE EXPERT TESTIMONY ON LATENT PRINTS OR IN THE ALTERNATIVE, TO LIMIT SUCH EXPERT TESTIMONY</w:t>
      </w:r>
    </w:p>
    <w:p w:rsidR="00F37427" w:rsidRPr="0071397D" w:rsidRDefault="00F37427" w:rsidP="00F37427">
      <w:pPr>
        <w:pBdr>
          <w:bottom w:val="single" w:sz="6" w:space="1" w:color="auto"/>
        </w:pBdr>
        <w:rPr>
          <w:rFonts w:ascii="Times New Roman" w:hAnsi="Times New Roman"/>
        </w:rPr>
      </w:pPr>
    </w:p>
    <w:p w:rsidR="00F37427" w:rsidRPr="0071397D" w:rsidRDefault="00F37427" w:rsidP="00F37427">
      <w:pPr>
        <w:rPr>
          <w:rFonts w:ascii="Times New Roman" w:hAnsi="Times New Roman"/>
        </w:rPr>
      </w:pPr>
    </w:p>
    <w:p w:rsidR="00F37427" w:rsidRDefault="00F37427" w:rsidP="00F37427">
      <w:pPr>
        <w:spacing w:line="480" w:lineRule="auto"/>
        <w:ind w:firstLine="720"/>
        <w:rPr>
          <w:rFonts w:ascii="Times New Roman" w:hAnsi="Times New Roman"/>
        </w:rPr>
      </w:pPr>
      <w:r w:rsidRPr="0071397D">
        <w:rPr>
          <w:rFonts w:ascii="Times New Roman" w:hAnsi="Times New Roman"/>
          <w:bCs/>
        </w:rPr>
        <w:t>TIMOTHY LEON MOORE</w:t>
      </w:r>
      <w:r w:rsidRPr="0071397D">
        <w:rPr>
          <w:rFonts w:ascii="Times New Roman" w:hAnsi="Times New Roman"/>
        </w:rPr>
        <w:t>, by and through counsel, respectfully moves this Court to</w:t>
      </w:r>
      <w:r w:rsidR="00634906">
        <w:rPr>
          <w:rFonts w:ascii="Times New Roman" w:hAnsi="Times New Roman"/>
        </w:rPr>
        <w:t xml:space="preserve"> </w:t>
      </w:r>
      <w:r w:rsidR="00953B3A">
        <w:rPr>
          <w:rFonts w:ascii="Times New Roman" w:hAnsi="Times New Roman"/>
        </w:rPr>
        <w:t>exclude expert testimony related to latent fingerprint comparison in this case or, in the alternative, to limit the scope and purported level of certain</w:t>
      </w:r>
      <w:r w:rsidR="00C06395">
        <w:rPr>
          <w:rFonts w:ascii="Times New Roman" w:hAnsi="Times New Roman"/>
        </w:rPr>
        <w:t>ty</w:t>
      </w:r>
      <w:r w:rsidR="00953B3A">
        <w:rPr>
          <w:rFonts w:ascii="Times New Roman" w:hAnsi="Times New Roman"/>
        </w:rPr>
        <w:t xml:space="preserve"> of the expert’s opinions as detailed below, </w:t>
      </w:r>
      <w:r w:rsidRPr="0071397D">
        <w:rPr>
          <w:rFonts w:ascii="Times New Roman" w:hAnsi="Times New Roman"/>
        </w:rPr>
        <w:t>under the Fifth, Sixth,</w:t>
      </w:r>
      <w:r w:rsidR="00953B3A">
        <w:rPr>
          <w:rFonts w:ascii="Times New Roman" w:hAnsi="Times New Roman"/>
        </w:rPr>
        <w:t xml:space="preserve"> Eighth</w:t>
      </w:r>
      <w:r w:rsidRPr="0071397D">
        <w:rPr>
          <w:rFonts w:ascii="Times New Roman" w:hAnsi="Times New Roman"/>
        </w:rPr>
        <w:t xml:space="preserve"> and Fourteenth Amendments to</w:t>
      </w:r>
      <w:r w:rsidR="00433E57">
        <w:rPr>
          <w:rFonts w:ascii="Times New Roman" w:hAnsi="Times New Roman"/>
        </w:rPr>
        <w:t xml:space="preserve"> the United States Constitution, </w:t>
      </w:r>
      <w:r w:rsidR="00513BCC">
        <w:rPr>
          <w:rFonts w:ascii="Times New Roman" w:hAnsi="Times New Roman"/>
        </w:rPr>
        <w:t xml:space="preserve">Article I, §§ 19 and 23 </w:t>
      </w:r>
      <w:r w:rsidRPr="0071397D">
        <w:rPr>
          <w:rFonts w:ascii="Times New Roman" w:hAnsi="Times New Roman"/>
        </w:rPr>
        <w:t xml:space="preserve">of the </w:t>
      </w:r>
      <w:r w:rsidR="00634906">
        <w:rPr>
          <w:rFonts w:ascii="Times New Roman" w:hAnsi="Times New Roman"/>
        </w:rPr>
        <w:t>North Carolina Constitution</w:t>
      </w:r>
      <w:r w:rsidR="00953B3A">
        <w:rPr>
          <w:rFonts w:ascii="Times New Roman" w:hAnsi="Times New Roman"/>
        </w:rPr>
        <w:t xml:space="preserve">, N.C. Gen. Stat. 8C-702, and </w:t>
      </w:r>
      <w:r w:rsidR="00953B3A" w:rsidRPr="00953B3A">
        <w:rPr>
          <w:rFonts w:ascii="Times New Roman" w:hAnsi="Times New Roman"/>
          <w:i/>
          <w:iCs/>
        </w:rPr>
        <w:t xml:space="preserve">State v. </w:t>
      </w:r>
      <w:proofErr w:type="spellStart"/>
      <w:r w:rsidR="00953B3A" w:rsidRPr="00953B3A">
        <w:rPr>
          <w:rFonts w:ascii="Times New Roman" w:hAnsi="Times New Roman"/>
          <w:i/>
          <w:iCs/>
        </w:rPr>
        <w:t>McGrady</w:t>
      </w:r>
      <w:proofErr w:type="spellEnd"/>
      <w:r w:rsidR="00953B3A" w:rsidRPr="00953B3A">
        <w:rPr>
          <w:rFonts w:ascii="Times New Roman" w:hAnsi="Times New Roman"/>
          <w:i/>
          <w:iCs/>
        </w:rPr>
        <w:t>,</w:t>
      </w:r>
      <w:r w:rsidR="00953B3A" w:rsidRPr="00953B3A">
        <w:rPr>
          <w:rFonts w:ascii="Times New Roman" w:hAnsi="Times New Roman"/>
        </w:rPr>
        <w:t xml:space="preserve"> 368 N.C. 880</w:t>
      </w:r>
      <w:r w:rsidR="00953B3A">
        <w:rPr>
          <w:rFonts w:ascii="Times New Roman" w:hAnsi="Times New Roman"/>
        </w:rPr>
        <w:t xml:space="preserve"> (2016). </w:t>
      </w:r>
      <w:r w:rsidR="00433E57">
        <w:rPr>
          <w:rFonts w:ascii="Times New Roman" w:hAnsi="Times New Roman"/>
        </w:rPr>
        <w:t xml:space="preserve"> </w:t>
      </w:r>
      <w:r w:rsidR="00634906">
        <w:rPr>
          <w:rFonts w:ascii="Times New Roman" w:hAnsi="Times New Roman"/>
        </w:rPr>
        <w:t>In su</w:t>
      </w:r>
      <w:r w:rsidR="00953B3A">
        <w:rPr>
          <w:rFonts w:ascii="Times New Roman" w:hAnsi="Times New Roman"/>
        </w:rPr>
        <w:t xml:space="preserve">pport of such, defendant states as follows. </w:t>
      </w:r>
    </w:p>
    <w:p w:rsidR="00953B3A" w:rsidRDefault="00953B3A" w:rsidP="00953B3A">
      <w:pPr>
        <w:pStyle w:val="ListParagraph"/>
        <w:numPr>
          <w:ilvl w:val="0"/>
          <w:numId w:val="3"/>
        </w:numPr>
        <w:spacing w:line="480" w:lineRule="auto"/>
        <w:rPr>
          <w:rFonts w:ascii="Times New Roman" w:hAnsi="Times New Roman"/>
        </w:rPr>
      </w:pPr>
      <w:r>
        <w:rPr>
          <w:rFonts w:ascii="Times New Roman" w:hAnsi="Times New Roman"/>
        </w:rPr>
        <w:t xml:space="preserve">Latent prints were recovered from the victim and suspect vehicle in April 2013. </w:t>
      </w:r>
    </w:p>
    <w:p w:rsidR="00953B3A" w:rsidRDefault="00953B3A" w:rsidP="00953B3A">
      <w:pPr>
        <w:pStyle w:val="ListParagraph"/>
        <w:numPr>
          <w:ilvl w:val="0"/>
          <w:numId w:val="3"/>
        </w:numPr>
        <w:spacing w:line="480" w:lineRule="auto"/>
        <w:rPr>
          <w:rFonts w:ascii="Times New Roman" w:hAnsi="Times New Roman"/>
        </w:rPr>
      </w:pPr>
      <w:r>
        <w:rPr>
          <w:rFonts w:ascii="Times New Roman" w:hAnsi="Times New Roman"/>
        </w:rPr>
        <w:t xml:space="preserve">The latent prints were analyzed on </w:t>
      </w:r>
      <w:r w:rsidR="00B773F6">
        <w:rPr>
          <w:rFonts w:ascii="Times New Roman" w:hAnsi="Times New Roman"/>
        </w:rPr>
        <w:t xml:space="preserve">May 14, 2013, June 12, 2013 and June 21, 2016. </w:t>
      </w:r>
    </w:p>
    <w:p w:rsidR="00953B3A" w:rsidRDefault="00B773F6" w:rsidP="00B773F6">
      <w:pPr>
        <w:pStyle w:val="ListParagraph"/>
        <w:numPr>
          <w:ilvl w:val="0"/>
          <w:numId w:val="3"/>
        </w:numPr>
        <w:spacing w:line="480" w:lineRule="auto"/>
        <w:rPr>
          <w:rFonts w:ascii="Times New Roman" w:hAnsi="Times New Roman"/>
        </w:rPr>
      </w:pPr>
      <w:r>
        <w:rPr>
          <w:rFonts w:ascii="Times New Roman" w:hAnsi="Times New Roman"/>
        </w:rPr>
        <w:t xml:space="preserve">Examiner Rebecca Waller stated her opinions as to the analysis of the latent prints in a report dated June 29, 2016. </w:t>
      </w:r>
      <w:r w:rsidR="00C06395">
        <w:rPr>
          <w:rFonts w:ascii="Times New Roman" w:hAnsi="Times New Roman"/>
        </w:rPr>
        <w:t xml:space="preserve">In such report, she identified one of the latent prints as belonging to the left palm print of Timothy Moore. </w:t>
      </w:r>
    </w:p>
    <w:p w:rsidR="00B773F6" w:rsidRPr="00B773F6" w:rsidRDefault="00B773F6" w:rsidP="00B773F6">
      <w:pPr>
        <w:pStyle w:val="ListParagraph"/>
        <w:numPr>
          <w:ilvl w:val="0"/>
          <w:numId w:val="3"/>
        </w:numPr>
        <w:spacing w:line="480" w:lineRule="auto"/>
        <w:rPr>
          <w:rFonts w:ascii="Times New Roman" w:hAnsi="Times New Roman"/>
        </w:rPr>
      </w:pPr>
      <w:r w:rsidRPr="00B773F6">
        <w:rPr>
          <w:rFonts w:ascii="Times New Roman" w:hAnsi="Times New Roman"/>
          <w:color w:val="000000"/>
        </w:rPr>
        <w:t xml:space="preserve">The State has failed to comply with requirements under North Carolina General Statute 8C-702, and </w:t>
      </w:r>
      <w:r w:rsidRPr="00B773F6">
        <w:rPr>
          <w:rFonts w:ascii="Times New Roman" w:hAnsi="Times New Roman"/>
          <w:i/>
          <w:iCs/>
          <w:color w:val="000000"/>
        </w:rPr>
        <w:t xml:space="preserve">State v. </w:t>
      </w:r>
      <w:proofErr w:type="spellStart"/>
      <w:r w:rsidRPr="00B773F6">
        <w:rPr>
          <w:rFonts w:ascii="Times New Roman" w:hAnsi="Times New Roman"/>
          <w:i/>
          <w:iCs/>
          <w:color w:val="000000"/>
        </w:rPr>
        <w:t>McGrady</w:t>
      </w:r>
      <w:proofErr w:type="spellEnd"/>
      <w:r w:rsidRPr="00B773F6">
        <w:rPr>
          <w:rFonts w:ascii="Times New Roman" w:hAnsi="Times New Roman"/>
          <w:i/>
          <w:iCs/>
          <w:color w:val="000000"/>
        </w:rPr>
        <w:t>,</w:t>
      </w:r>
      <w:r w:rsidRPr="00B773F6">
        <w:rPr>
          <w:rFonts w:ascii="Times New Roman" w:hAnsi="Times New Roman"/>
          <w:color w:val="000000"/>
        </w:rPr>
        <w:t xml:space="preserve"> 368 N.C. 880 (2016), which govern the admissibility of expert witness testimony</w:t>
      </w:r>
      <w:r w:rsidR="00C06395">
        <w:rPr>
          <w:rFonts w:ascii="Times New Roman" w:hAnsi="Times New Roman"/>
          <w:color w:val="000000"/>
        </w:rPr>
        <w:t xml:space="preserve">.  </w:t>
      </w:r>
      <w:r w:rsidRPr="00B773F6">
        <w:rPr>
          <w:rFonts w:ascii="Times New Roman" w:hAnsi="Times New Roman"/>
          <w:color w:val="000000"/>
        </w:rPr>
        <w:t>A</w:t>
      </w:r>
      <w:r w:rsidRPr="00B773F6">
        <w:rPr>
          <w:rFonts w:ascii="Times New Roman" w:hAnsi="Times New Roman"/>
          <w:color w:val="1F1D1E"/>
          <w:shd w:val="clear" w:color="auto" w:fill="FFFFFF"/>
        </w:rPr>
        <w:t xml:space="preserve">ny probative value such testimony may have is outweighed by its danger of misleading the jury. N.C. Rule </w:t>
      </w:r>
      <w:proofErr w:type="spellStart"/>
      <w:r w:rsidRPr="00B773F6">
        <w:rPr>
          <w:rFonts w:ascii="Times New Roman" w:hAnsi="Times New Roman"/>
          <w:color w:val="1F1D1E"/>
          <w:shd w:val="clear" w:color="auto" w:fill="FFFFFF"/>
        </w:rPr>
        <w:t>Ev</w:t>
      </w:r>
      <w:proofErr w:type="spellEnd"/>
      <w:r w:rsidRPr="00B773F6">
        <w:rPr>
          <w:rFonts w:ascii="Times New Roman" w:hAnsi="Times New Roman"/>
          <w:color w:val="1F1D1E"/>
          <w:shd w:val="clear" w:color="auto" w:fill="FFFFFF"/>
        </w:rPr>
        <w:t>. Rule 403.</w:t>
      </w:r>
      <w:r w:rsidRPr="00B773F6">
        <w:rPr>
          <w:rFonts w:ascii="Times New Roman" w:hAnsi="Times New Roman"/>
          <w:color w:val="000000"/>
        </w:rPr>
        <w:t xml:space="preserve"> </w:t>
      </w:r>
    </w:p>
    <w:p w:rsidR="00C06395" w:rsidRDefault="00C06395" w:rsidP="00953B3A">
      <w:pPr>
        <w:spacing w:line="480" w:lineRule="auto"/>
        <w:jc w:val="center"/>
        <w:rPr>
          <w:rFonts w:ascii="Times New Roman" w:hAnsi="Times New Roman"/>
          <w:b/>
          <w:bCs/>
          <w:u w:val="single"/>
        </w:rPr>
      </w:pPr>
    </w:p>
    <w:p w:rsidR="00953B3A" w:rsidRDefault="00953B3A" w:rsidP="00953B3A">
      <w:pPr>
        <w:spacing w:line="480" w:lineRule="auto"/>
        <w:jc w:val="center"/>
        <w:rPr>
          <w:rFonts w:ascii="Times New Roman" w:hAnsi="Times New Roman"/>
        </w:rPr>
      </w:pPr>
      <w:r w:rsidRPr="00953B3A">
        <w:rPr>
          <w:rFonts w:ascii="Times New Roman" w:hAnsi="Times New Roman"/>
          <w:b/>
          <w:bCs/>
          <w:u w:val="single"/>
        </w:rPr>
        <w:lastRenderedPageBreak/>
        <w:t>ARGUMENT AND ANALYSIS</w:t>
      </w:r>
    </w:p>
    <w:p w:rsidR="00953B3A" w:rsidRPr="00953B3A" w:rsidRDefault="00953B3A" w:rsidP="00953B3A">
      <w:pPr>
        <w:spacing w:line="480" w:lineRule="auto"/>
        <w:ind w:firstLine="720"/>
        <w:rPr>
          <w:rFonts w:ascii="Times New Roman" w:hAnsi="Times New Roman"/>
        </w:rPr>
      </w:pPr>
      <w:r>
        <w:rPr>
          <w:rFonts w:ascii="Times New Roman" w:hAnsi="Times New Roman"/>
        </w:rPr>
        <w:t xml:space="preserve">Rebecca Waller </w:t>
      </w:r>
      <w:r w:rsidRPr="00953B3A">
        <w:rPr>
          <w:rFonts w:ascii="Times New Roman" w:hAnsi="Times New Roman"/>
        </w:rPr>
        <w:t>should not be permitted to testify as an expert witness for the State pursuant to N.C. Gen. Stat. § 8C-1, Rule 702(a). Rule 702 states:</w:t>
      </w:r>
    </w:p>
    <w:p w:rsidR="00953B3A" w:rsidRPr="00953B3A" w:rsidRDefault="00953B3A" w:rsidP="00B773F6">
      <w:pPr>
        <w:ind w:firstLine="720"/>
        <w:rPr>
          <w:rFonts w:ascii="Times New Roman" w:hAnsi="Times New Roman"/>
        </w:rPr>
      </w:pPr>
      <w:r w:rsidRPr="00953B3A">
        <w:rPr>
          <w:rFonts w:ascii="Times New Roman" w:hAnsi="Times New Roman"/>
        </w:rPr>
        <w:t xml:space="preserve">If scientific, technical or other specialized knowledge will assist the </w:t>
      </w:r>
    </w:p>
    <w:p w:rsidR="00953B3A" w:rsidRPr="00953B3A" w:rsidRDefault="00953B3A" w:rsidP="00B773F6">
      <w:pPr>
        <w:ind w:firstLine="720"/>
        <w:rPr>
          <w:rFonts w:ascii="Times New Roman" w:hAnsi="Times New Roman"/>
        </w:rPr>
      </w:pPr>
      <w:proofErr w:type="spellStart"/>
      <w:proofErr w:type="gramStart"/>
      <w:r w:rsidRPr="00953B3A">
        <w:rPr>
          <w:rFonts w:ascii="Times New Roman" w:hAnsi="Times New Roman"/>
        </w:rPr>
        <w:t>trier</w:t>
      </w:r>
      <w:proofErr w:type="spellEnd"/>
      <w:proofErr w:type="gramEnd"/>
      <w:r w:rsidRPr="00953B3A">
        <w:rPr>
          <w:rFonts w:ascii="Times New Roman" w:hAnsi="Times New Roman"/>
        </w:rPr>
        <w:t xml:space="preserve"> of fact to understand the evidence or to determine a fact in issue, </w:t>
      </w:r>
    </w:p>
    <w:p w:rsidR="00953B3A" w:rsidRPr="00953B3A" w:rsidRDefault="00953B3A" w:rsidP="00B773F6">
      <w:pPr>
        <w:ind w:firstLine="720"/>
        <w:rPr>
          <w:rFonts w:ascii="Times New Roman" w:hAnsi="Times New Roman"/>
        </w:rPr>
      </w:pPr>
      <w:proofErr w:type="gramStart"/>
      <w:r w:rsidRPr="00953B3A">
        <w:rPr>
          <w:rFonts w:ascii="Times New Roman" w:hAnsi="Times New Roman"/>
        </w:rPr>
        <w:t>a</w:t>
      </w:r>
      <w:proofErr w:type="gramEnd"/>
      <w:r w:rsidRPr="00953B3A">
        <w:rPr>
          <w:rFonts w:ascii="Times New Roman" w:hAnsi="Times New Roman"/>
        </w:rPr>
        <w:t xml:space="preserve"> witness qualified as an expert by knowledge, skill, experience, training,</w:t>
      </w:r>
    </w:p>
    <w:p w:rsidR="00953B3A" w:rsidRPr="00953B3A" w:rsidRDefault="00953B3A" w:rsidP="00B773F6">
      <w:pPr>
        <w:ind w:firstLine="720"/>
        <w:rPr>
          <w:rFonts w:ascii="Times New Roman" w:hAnsi="Times New Roman"/>
        </w:rPr>
      </w:pPr>
      <w:proofErr w:type="gramStart"/>
      <w:r w:rsidRPr="00953B3A">
        <w:rPr>
          <w:rFonts w:ascii="Times New Roman" w:hAnsi="Times New Roman"/>
        </w:rPr>
        <w:t>or</w:t>
      </w:r>
      <w:proofErr w:type="gramEnd"/>
      <w:r w:rsidRPr="00953B3A">
        <w:rPr>
          <w:rFonts w:ascii="Times New Roman" w:hAnsi="Times New Roman"/>
        </w:rPr>
        <w:t xml:space="preserve"> education, may testify thereto in the form of an opinion, or otherwise, </w:t>
      </w:r>
    </w:p>
    <w:p w:rsidR="00953B3A" w:rsidRPr="00953B3A" w:rsidRDefault="00953B3A" w:rsidP="00B773F6">
      <w:pPr>
        <w:ind w:firstLine="720"/>
        <w:rPr>
          <w:rFonts w:ascii="Times New Roman" w:hAnsi="Times New Roman"/>
        </w:rPr>
      </w:pPr>
      <w:proofErr w:type="gramStart"/>
      <w:r w:rsidRPr="00953B3A">
        <w:rPr>
          <w:rFonts w:ascii="Times New Roman" w:hAnsi="Times New Roman"/>
        </w:rPr>
        <w:t>if</w:t>
      </w:r>
      <w:proofErr w:type="gramEnd"/>
      <w:r w:rsidRPr="00953B3A">
        <w:rPr>
          <w:rFonts w:ascii="Times New Roman" w:hAnsi="Times New Roman"/>
        </w:rPr>
        <w:t xml:space="preserve"> all of the following apply: (1) The testimony is based upon sufficient </w:t>
      </w:r>
    </w:p>
    <w:p w:rsidR="00953B3A" w:rsidRPr="00953B3A" w:rsidRDefault="00953B3A" w:rsidP="00B773F6">
      <w:pPr>
        <w:ind w:firstLine="720"/>
        <w:rPr>
          <w:rFonts w:ascii="Times New Roman" w:hAnsi="Times New Roman"/>
        </w:rPr>
      </w:pPr>
      <w:proofErr w:type="gramStart"/>
      <w:r w:rsidRPr="00953B3A">
        <w:rPr>
          <w:rFonts w:ascii="Times New Roman" w:hAnsi="Times New Roman"/>
        </w:rPr>
        <w:t>facts</w:t>
      </w:r>
      <w:proofErr w:type="gramEnd"/>
      <w:r w:rsidRPr="00953B3A">
        <w:rPr>
          <w:rFonts w:ascii="Times New Roman" w:hAnsi="Times New Roman"/>
        </w:rPr>
        <w:t xml:space="preserve"> or data. (2) The testimony is the product of reliable principles and </w:t>
      </w:r>
    </w:p>
    <w:p w:rsidR="00953B3A" w:rsidRPr="00953B3A" w:rsidRDefault="00953B3A" w:rsidP="00B773F6">
      <w:pPr>
        <w:ind w:firstLine="720"/>
        <w:rPr>
          <w:rFonts w:ascii="Times New Roman" w:hAnsi="Times New Roman"/>
        </w:rPr>
      </w:pPr>
      <w:proofErr w:type="gramStart"/>
      <w:r w:rsidRPr="00953B3A">
        <w:rPr>
          <w:rFonts w:ascii="Times New Roman" w:hAnsi="Times New Roman"/>
        </w:rPr>
        <w:t>methods</w:t>
      </w:r>
      <w:proofErr w:type="gramEnd"/>
      <w:r w:rsidRPr="00953B3A">
        <w:rPr>
          <w:rFonts w:ascii="Times New Roman" w:hAnsi="Times New Roman"/>
        </w:rPr>
        <w:t>. (3) The witness has applied the principles and methods reliably</w:t>
      </w:r>
    </w:p>
    <w:p w:rsidR="00953B3A" w:rsidRPr="00953B3A" w:rsidRDefault="00953B3A" w:rsidP="00B773F6">
      <w:pPr>
        <w:ind w:firstLine="720"/>
        <w:rPr>
          <w:rFonts w:ascii="Times New Roman" w:hAnsi="Times New Roman"/>
        </w:rPr>
      </w:pPr>
      <w:proofErr w:type="gramStart"/>
      <w:r w:rsidRPr="00953B3A">
        <w:rPr>
          <w:rFonts w:ascii="Times New Roman" w:hAnsi="Times New Roman"/>
        </w:rPr>
        <w:t>to</w:t>
      </w:r>
      <w:proofErr w:type="gramEnd"/>
      <w:r w:rsidRPr="00953B3A">
        <w:rPr>
          <w:rFonts w:ascii="Times New Roman" w:hAnsi="Times New Roman"/>
        </w:rPr>
        <w:t xml:space="preserve"> the facts of the case.</w:t>
      </w:r>
    </w:p>
    <w:p w:rsidR="00953B3A" w:rsidRPr="00953B3A" w:rsidRDefault="00953B3A" w:rsidP="00953B3A">
      <w:pPr>
        <w:spacing w:line="480" w:lineRule="auto"/>
        <w:ind w:firstLine="720"/>
        <w:rPr>
          <w:rFonts w:ascii="Times New Roman" w:hAnsi="Times New Roman"/>
        </w:rPr>
      </w:pPr>
    </w:p>
    <w:p w:rsidR="00953B3A" w:rsidRDefault="00953B3A" w:rsidP="0036258E">
      <w:pPr>
        <w:spacing w:line="480" w:lineRule="auto"/>
        <w:ind w:firstLine="720"/>
        <w:rPr>
          <w:rFonts w:ascii="Times New Roman" w:hAnsi="Times New Roman"/>
        </w:rPr>
      </w:pPr>
      <w:r w:rsidRPr="00953B3A">
        <w:rPr>
          <w:rFonts w:ascii="Times New Roman" w:hAnsi="Times New Roman"/>
        </w:rPr>
        <w:t>The North Carolina Rules of Evidence were amended in 2011 to the above iteration, such that North Carolina now follows the federal standard for the admission of expert witness testimony known as the “</w:t>
      </w:r>
      <w:proofErr w:type="spellStart"/>
      <w:r w:rsidRPr="00953B3A">
        <w:rPr>
          <w:rFonts w:ascii="Times New Roman" w:hAnsi="Times New Roman"/>
        </w:rPr>
        <w:t>Daubert</w:t>
      </w:r>
      <w:proofErr w:type="spellEnd"/>
      <w:r w:rsidRPr="00953B3A">
        <w:rPr>
          <w:rFonts w:ascii="Times New Roman" w:hAnsi="Times New Roman"/>
        </w:rPr>
        <w:t xml:space="preserve"> standard.” </w:t>
      </w:r>
      <w:proofErr w:type="gramStart"/>
      <w:r w:rsidRPr="00953B3A">
        <w:rPr>
          <w:rFonts w:ascii="Times New Roman" w:hAnsi="Times New Roman"/>
          <w:i/>
        </w:rPr>
        <w:t xml:space="preserve">State v. </w:t>
      </w:r>
      <w:proofErr w:type="spellStart"/>
      <w:r w:rsidRPr="00953B3A">
        <w:rPr>
          <w:rFonts w:ascii="Times New Roman" w:hAnsi="Times New Roman"/>
          <w:i/>
        </w:rPr>
        <w:t>McGrady</w:t>
      </w:r>
      <w:proofErr w:type="spellEnd"/>
      <w:r w:rsidRPr="00953B3A">
        <w:rPr>
          <w:rFonts w:ascii="Times New Roman" w:hAnsi="Times New Roman"/>
        </w:rPr>
        <w:t>, 368 N.C. 880, 884 (2016).</w:t>
      </w:r>
      <w:proofErr w:type="gramEnd"/>
      <w:r w:rsidRPr="00953B3A">
        <w:rPr>
          <w:rFonts w:ascii="Times New Roman" w:hAnsi="Times New Roman"/>
        </w:rPr>
        <w:t xml:space="preserve"> </w:t>
      </w:r>
      <w:r w:rsidR="0036258E">
        <w:rPr>
          <w:rFonts w:ascii="Times New Roman" w:hAnsi="Times New Roman"/>
        </w:rPr>
        <w:t xml:space="preserve">The statute can be summarized as a “three-step framework – namely, evaluating qualification, relevance, and reliability.” </w:t>
      </w:r>
      <w:proofErr w:type="spellStart"/>
      <w:proofErr w:type="gramStart"/>
      <w:r w:rsidR="0036258E">
        <w:rPr>
          <w:rFonts w:ascii="Times New Roman" w:hAnsi="Times New Roman"/>
          <w:i/>
        </w:rPr>
        <w:t>McGrady</w:t>
      </w:r>
      <w:proofErr w:type="spellEnd"/>
      <w:r w:rsidR="0036258E">
        <w:rPr>
          <w:rFonts w:ascii="Times New Roman" w:hAnsi="Times New Roman"/>
          <w:i/>
        </w:rPr>
        <w:t xml:space="preserve"> </w:t>
      </w:r>
      <w:r w:rsidR="0036258E">
        <w:rPr>
          <w:rFonts w:ascii="Times New Roman" w:hAnsi="Times New Roman"/>
        </w:rPr>
        <w:t>at 892.</w:t>
      </w:r>
      <w:proofErr w:type="gramEnd"/>
      <w:r w:rsidR="0036258E">
        <w:rPr>
          <w:rFonts w:ascii="Times New Roman" w:hAnsi="Times New Roman"/>
        </w:rPr>
        <w:t xml:space="preserve"> </w:t>
      </w:r>
      <w:r w:rsidRPr="00953B3A">
        <w:rPr>
          <w:rFonts w:ascii="Times New Roman" w:hAnsi="Times New Roman"/>
        </w:rPr>
        <w:t xml:space="preserve">As such, Ms. </w:t>
      </w:r>
      <w:r>
        <w:rPr>
          <w:rFonts w:ascii="Times New Roman" w:hAnsi="Times New Roman"/>
        </w:rPr>
        <w:t>Waller’s</w:t>
      </w:r>
      <w:r w:rsidRPr="00953B3A">
        <w:rPr>
          <w:rFonts w:ascii="Times New Roman" w:hAnsi="Times New Roman"/>
        </w:rPr>
        <w:t xml:space="preserve"> testimony should be excluded as neither the opinion testimony nor the discipline it is a product of represents foundationally valid science. These deficiencies are compounded by the discipline’s unreasonably high error rates, lack of adequate peer review and study, and admittedly subjective nature</w:t>
      </w:r>
      <w:r w:rsidR="00B773F6">
        <w:rPr>
          <w:rFonts w:ascii="Times New Roman" w:hAnsi="Times New Roman"/>
        </w:rPr>
        <w:t xml:space="preserve">. </w:t>
      </w:r>
    </w:p>
    <w:p w:rsidR="008F72DD" w:rsidRPr="00855C2B" w:rsidRDefault="008F72DD" w:rsidP="008F72DD">
      <w:pPr>
        <w:pStyle w:val="ListParagraph"/>
        <w:numPr>
          <w:ilvl w:val="0"/>
          <w:numId w:val="4"/>
        </w:numPr>
        <w:spacing w:line="480" w:lineRule="auto"/>
        <w:rPr>
          <w:rFonts w:ascii="Times New Roman" w:hAnsi="Times New Roman"/>
          <w:b/>
        </w:rPr>
      </w:pPr>
      <w:r w:rsidRPr="00855C2B">
        <w:rPr>
          <w:rFonts w:ascii="Times New Roman" w:hAnsi="Times New Roman"/>
          <w:b/>
        </w:rPr>
        <w:t>Ms. Waller lacks the necessary knowledge, skill, experience</w:t>
      </w:r>
      <w:r w:rsidR="004D688E">
        <w:rPr>
          <w:rFonts w:ascii="Times New Roman" w:hAnsi="Times New Roman"/>
          <w:b/>
        </w:rPr>
        <w:t>,</w:t>
      </w:r>
      <w:r w:rsidRPr="00855C2B">
        <w:rPr>
          <w:rFonts w:ascii="Times New Roman" w:hAnsi="Times New Roman"/>
          <w:b/>
        </w:rPr>
        <w:t xml:space="preserve"> training or education. </w:t>
      </w:r>
    </w:p>
    <w:p w:rsidR="008F72DD" w:rsidRDefault="008F72DD" w:rsidP="008F72DD">
      <w:pPr>
        <w:spacing w:line="480" w:lineRule="auto"/>
        <w:ind w:firstLine="720"/>
        <w:rPr>
          <w:rFonts w:ascii="Times New Roman" w:hAnsi="Times New Roman"/>
        </w:rPr>
      </w:pPr>
      <w:r>
        <w:rPr>
          <w:rFonts w:ascii="Times New Roman" w:hAnsi="Times New Roman"/>
        </w:rPr>
        <w:t xml:space="preserve">From her </w:t>
      </w:r>
      <w:r w:rsidRPr="008F72DD">
        <w:rPr>
          <w:rFonts w:ascii="Times New Roman" w:hAnsi="Times New Roman"/>
          <w:i/>
        </w:rPr>
        <w:t>Curriculum Vitae</w:t>
      </w:r>
      <w:r w:rsidR="002936FA">
        <w:rPr>
          <w:rFonts w:ascii="Times New Roman" w:hAnsi="Times New Roman"/>
        </w:rPr>
        <w:t xml:space="preserve"> provided as part of discovery </w:t>
      </w:r>
      <w:r>
        <w:rPr>
          <w:rFonts w:ascii="Times New Roman" w:hAnsi="Times New Roman"/>
        </w:rPr>
        <w:t xml:space="preserve">it appears that Ms. Waller has been employed as a Latent Print Examiner </w:t>
      </w:r>
      <w:r w:rsidR="00855C2B">
        <w:rPr>
          <w:rFonts w:ascii="Times New Roman" w:hAnsi="Times New Roman"/>
        </w:rPr>
        <w:t xml:space="preserve">from January 2010 to present.  During such time, Ms. Waller has not completed any certifications related to latent print examinations, and has only completed 46 hours in training related to latent print examination. All of that training was conducted in 2010 – 2011, and six of those hours appear to be related to providing courtroom </w:t>
      </w:r>
      <w:r w:rsidR="00855C2B">
        <w:rPr>
          <w:rFonts w:ascii="Times New Roman" w:hAnsi="Times New Roman"/>
        </w:rPr>
        <w:lastRenderedPageBreak/>
        <w:t xml:space="preserve">testimony as opposed to performing examinations. She has not attended any conferences related to latent print examinations since 2010. </w:t>
      </w:r>
      <w:r w:rsidR="0008284E">
        <w:rPr>
          <w:rFonts w:ascii="Times New Roman" w:hAnsi="Times New Roman"/>
        </w:rPr>
        <w:t>It does not appear that Ms. Waller has engaged in any continuing education, given presentations, par</w:t>
      </w:r>
      <w:r w:rsidR="00C06395">
        <w:rPr>
          <w:rFonts w:ascii="Times New Roman" w:hAnsi="Times New Roman"/>
        </w:rPr>
        <w:t>ticipated in any fellowships,</w:t>
      </w:r>
      <w:r w:rsidR="0008284E">
        <w:rPr>
          <w:rFonts w:ascii="Times New Roman" w:hAnsi="Times New Roman"/>
        </w:rPr>
        <w:t xml:space="preserve"> p</w:t>
      </w:r>
      <w:r w:rsidR="00C06395">
        <w:rPr>
          <w:rFonts w:ascii="Times New Roman" w:hAnsi="Times New Roman"/>
        </w:rPr>
        <w:t xml:space="preserve">ublished any scientific papers, or is board certified in the field. </w:t>
      </w:r>
    </w:p>
    <w:p w:rsidR="002D6E9A" w:rsidRDefault="00855C2B" w:rsidP="002D6E9A">
      <w:pPr>
        <w:spacing w:line="480" w:lineRule="auto"/>
        <w:ind w:firstLine="720"/>
        <w:rPr>
          <w:rFonts w:ascii="Times New Roman" w:hAnsi="Times New Roman"/>
        </w:rPr>
      </w:pPr>
      <w:r>
        <w:rPr>
          <w:rFonts w:ascii="Times New Roman" w:hAnsi="Times New Roman"/>
        </w:rPr>
        <w:t>Furthermore, the results of any proficiency training completed by her as required by Durham Police Department policy are unknown at this time.  Even so, the proficiency testing used by the Durham Police Department has been deemed in</w:t>
      </w:r>
      <w:r w:rsidR="002D6E9A">
        <w:rPr>
          <w:rFonts w:ascii="Times New Roman" w:hAnsi="Times New Roman"/>
        </w:rPr>
        <w:t xml:space="preserve">adequate by reputable sources. The President’s Council of Advisors on Science and Technology (PCAST), </w:t>
      </w:r>
      <w:r w:rsidR="002D6E9A">
        <w:rPr>
          <w:rFonts w:ascii="Times New Roman" w:hAnsi="Times New Roman"/>
          <w:i/>
        </w:rPr>
        <w:t>Forensic Science in Criminal Courts: Ensuring Validity of Feature-Comparison Methods</w:t>
      </w:r>
      <w:r w:rsidR="002D6E9A">
        <w:rPr>
          <w:rFonts w:ascii="Times New Roman" w:hAnsi="Times New Roman"/>
        </w:rPr>
        <w:t xml:space="preserve"> 95 (Sept. 20, 2016) [hereinafter “PCAST Report”] (emphasis in original) discussed the issues with proficiency testing in subjective methods such as latent print analysis.  Specifically, the PCAST Report discussed issues with the testing service Collaborative Testing Services, Inc. [hereinafter referred to as “CTS”], the same proficiency testing used by the Durham Police Department according to its policies and procedures. </w:t>
      </w:r>
    </w:p>
    <w:p w:rsidR="002D6E9A" w:rsidRDefault="002D6E9A" w:rsidP="002D6E9A">
      <w:pPr>
        <w:ind w:left="720" w:right="720" w:firstLine="720"/>
        <w:jc w:val="both"/>
        <w:rPr>
          <w:rFonts w:ascii="Times New Roman" w:hAnsi="Times New Roman"/>
        </w:rPr>
      </w:pPr>
      <w:r w:rsidRPr="002D6E9A">
        <w:rPr>
          <w:rFonts w:ascii="Times New Roman" w:hAnsi="Times New Roman"/>
        </w:rPr>
        <w:t xml:space="preserve">We considered whether proficiency testing, which is conducted by commercial organizations for some disciplines, could be used to establish foundational validity. We concluded that it could not, at present, for several reasons. First, proficiency tests are not intended to establish foundational validity. Second, the test problems or test sets used in commercial proficiency tests are not at present routinely made public—making it impossible to ascertain whether the tests appropriately assess the method across the range of applications for which it is used. The publication and critical review of methods and data is an essential component in establishing scientific validity. Third, the dominant company in the market, </w:t>
      </w:r>
      <w:r w:rsidRPr="002D6E9A">
        <w:rPr>
          <w:rFonts w:ascii="Times New Roman" w:hAnsi="Times New Roman"/>
          <w:b/>
        </w:rPr>
        <w:t>Collaborative Testing Services, Inc. (CTS),</w:t>
      </w:r>
      <w:r w:rsidRPr="002D6E9A">
        <w:rPr>
          <w:rFonts w:ascii="Times New Roman" w:hAnsi="Times New Roman"/>
        </w:rPr>
        <w:t xml:space="preserve"> explicitly states that its proficiency tests are not appropriate for estimating error rates of a discipline, because (a) the test results, which are open to anyone, may not reflect the skills of forensic practitioners and (b) “the reported results do not reflect ‘correct’ or ‘incorrect’ answers, but rather responses that agree or disagree with the consensus conclusions of the participant population.”169 Fourth, the tests for forensic feature-comparison methods typically consist of only one or two problems each year. Fifth, “easy tests are favored by the community,” with the result that tests that are too challenging could jeopardize repeat business for a commercial vendor.</w:t>
      </w:r>
    </w:p>
    <w:p w:rsidR="002D6E9A" w:rsidRDefault="002D6E9A" w:rsidP="002D6E9A">
      <w:pPr>
        <w:ind w:left="720" w:right="720" w:firstLine="720"/>
        <w:jc w:val="both"/>
        <w:rPr>
          <w:rFonts w:ascii="Times New Roman" w:hAnsi="Times New Roman"/>
        </w:rPr>
      </w:pPr>
    </w:p>
    <w:p w:rsidR="002D6E9A" w:rsidRDefault="002D6E9A" w:rsidP="002D6E9A">
      <w:pPr>
        <w:spacing w:line="480" w:lineRule="auto"/>
        <w:ind w:right="720"/>
        <w:jc w:val="both"/>
        <w:rPr>
          <w:rFonts w:ascii="Times New Roman" w:hAnsi="Times New Roman"/>
        </w:rPr>
      </w:pPr>
      <w:proofErr w:type="gramStart"/>
      <w:r>
        <w:rPr>
          <w:rFonts w:ascii="Times New Roman" w:hAnsi="Times New Roman"/>
        </w:rPr>
        <w:t>PCAST Report at 68.</w:t>
      </w:r>
      <w:proofErr w:type="gramEnd"/>
      <w:r>
        <w:rPr>
          <w:rFonts w:ascii="Times New Roman" w:hAnsi="Times New Roman"/>
        </w:rPr>
        <w:t xml:space="preserve">  In footnote 170, the PCAST Report </w:t>
      </w:r>
      <w:r w:rsidR="003F37BD">
        <w:rPr>
          <w:rFonts w:ascii="Times New Roman" w:hAnsi="Times New Roman"/>
        </w:rPr>
        <w:t xml:space="preserve">notes </w:t>
      </w:r>
      <w:r>
        <w:rPr>
          <w:rFonts w:ascii="Times New Roman" w:hAnsi="Times New Roman"/>
        </w:rPr>
        <w:t xml:space="preserve">further that the President of CTS explained that </w:t>
      </w:r>
    </w:p>
    <w:p w:rsidR="002D6E9A" w:rsidRPr="003F37BD" w:rsidRDefault="002D6E9A" w:rsidP="003F37BD">
      <w:pPr>
        <w:pStyle w:val="ListParagraph"/>
        <w:numPr>
          <w:ilvl w:val="0"/>
          <w:numId w:val="5"/>
        </w:numPr>
        <w:ind w:right="720"/>
        <w:jc w:val="both"/>
        <w:rPr>
          <w:rFonts w:ascii="Times New Roman" w:hAnsi="Times New Roman"/>
        </w:rPr>
      </w:pPr>
      <w:r w:rsidRPr="003F37BD">
        <w:rPr>
          <w:rFonts w:ascii="Times New Roman" w:hAnsi="Times New Roman"/>
        </w:rPr>
        <w:t xml:space="preserve">CTS defines consensus as at least 80 percent agreement among respondents and (2) proficiency testing for latent fingerprints only occasionally involves a problem in which a questioned print matches </w:t>
      </w:r>
      <w:r w:rsidRPr="003F37BD">
        <w:rPr>
          <w:rFonts w:ascii="Times New Roman" w:hAnsi="Times New Roman"/>
          <w:i/>
          <w:iCs/>
        </w:rPr>
        <w:t xml:space="preserve">none </w:t>
      </w:r>
      <w:r w:rsidRPr="003F37BD">
        <w:rPr>
          <w:rFonts w:ascii="Times New Roman" w:hAnsi="Times New Roman"/>
        </w:rPr>
        <w:t xml:space="preserve">of the possible answers. </w:t>
      </w:r>
      <w:proofErr w:type="spellStart"/>
      <w:r w:rsidRPr="003F37BD">
        <w:rPr>
          <w:rFonts w:ascii="Times New Roman" w:hAnsi="Times New Roman"/>
        </w:rPr>
        <w:t>Czyryca</w:t>
      </w:r>
      <w:proofErr w:type="spellEnd"/>
      <w:r w:rsidRPr="003F37BD">
        <w:rPr>
          <w:rFonts w:ascii="Times New Roman" w:hAnsi="Times New Roman"/>
        </w:rPr>
        <w:t xml:space="preserve"> noted that the </w:t>
      </w:r>
      <w:r w:rsidRPr="00C06395">
        <w:rPr>
          <w:rFonts w:ascii="Times New Roman" w:hAnsi="Times New Roman"/>
          <w:b/>
        </w:rPr>
        <w:t>forensic community disfavors more challenging tests—and that testing companies are concerned that they could lose business if their tests are viewed as too challenging</w:t>
      </w:r>
      <w:r w:rsidRPr="003F37BD">
        <w:rPr>
          <w:rFonts w:ascii="Times New Roman" w:hAnsi="Times New Roman"/>
        </w:rPr>
        <w:t xml:space="preserve">. An example of a “challenging” test is the very important scenario in which </w:t>
      </w:r>
      <w:r w:rsidRPr="003F37BD">
        <w:rPr>
          <w:rFonts w:ascii="Times New Roman" w:hAnsi="Times New Roman"/>
          <w:i/>
          <w:iCs/>
        </w:rPr>
        <w:t xml:space="preserve">none </w:t>
      </w:r>
      <w:r w:rsidRPr="003F37BD">
        <w:rPr>
          <w:rFonts w:ascii="Times New Roman" w:hAnsi="Times New Roman"/>
        </w:rPr>
        <w:t xml:space="preserve">of the questioned samples match any of the known samples: because examiners may expect they should find </w:t>
      </w:r>
      <w:r w:rsidRPr="003F37BD">
        <w:rPr>
          <w:rFonts w:ascii="Times New Roman" w:hAnsi="Times New Roman"/>
          <w:i/>
          <w:iCs/>
        </w:rPr>
        <w:t xml:space="preserve">some </w:t>
      </w:r>
      <w:r w:rsidRPr="003F37BD">
        <w:rPr>
          <w:rFonts w:ascii="Times New Roman" w:hAnsi="Times New Roman"/>
        </w:rPr>
        <w:t xml:space="preserve">matches, such scenarios provide an opportunity to assess how often examiners declare false-positive matches.  </w:t>
      </w:r>
      <w:r w:rsidR="00C06395">
        <w:rPr>
          <w:rFonts w:ascii="Times New Roman" w:hAnsi="Times New Roman"/>
        </w:rPr>
        <w:br/>
      </w:r>
    </w:p>
    <w:p w:rsidR="003F37BD" w:rsidRDefault="003F37BD" w:rsidP="003F37BD">
      <w:pPr>
        <w:ind w:right="720"/>
        <w:jc w:val="both"/>
        <w:rPr>
          <w:rFonts w:ascii="Times New Roman" w:hAnsi="Times New Roman"/>
        </w:rPr>
      </w:pPr>
      <w:r>
        <w:rPr>
          <w:rFonts w:ascii="Times New Roman" w:hAnsi="Times New Roman"/>
          <w:i/>
        </w:rPr>
        <w:t>Id</w:t>
      </w:r>
      <w:r w:rsidR="00C06395">
        <w:rPr>
          <w:rFonts w:ascii="Times New Roman" w:hAnsi="Times New Roman"/>
        </w:rPr>
        <w:t xml:space="preserve"> (emphasis added). </w:t>
      </w:r>
    </w:p>
    <w:p w:rsidR="003F37BD" w:rsidRDefault="003F37BD" w:rsidP="003F37BD">
      <w:pPr>
        <w:ind w:right="720"/>
        <w:jc w:val="both"/>
        <w:rPr>
          <w:rFonts w:ascii="Times New Roman" w:hAnsi="Times New Roman"/>
        </w:rPr>
      </w:pPr>
      <w:r>
        <w:rPr>
          <w:rFonts w:ascii="Times New Roman" w:hAnsi="Times New Roman"/>
        </w:rPr>
        <w:tab/>
      </w:r>
    </w:p>
    <w:p w:rsidR="00872EB4" w:rsidRDefault="003F37BD" w:rsidP="003F37BD">
      <w:pPr>
        <w:spacing w:line="480" w:lineRule="auto"/>
        <w:ind w:right="720"/>
        <w:jc w:val="both"/>
        <w:rPr>
          <w:rFonts w:ascii="Times New Roman" w:hAnsi="Times New Roman"/>
        </w:rPr>
      </w:pPr>
      <w:r>
        <w:rPr>
          <w:rFonts w:ascii="Times New Roman" w:hAnsi="Times New Roman"/>
        </w:rPr>
        <w:tab/>
      </w:r>
      <w:r w:rsidR="00872EB4">
        <w:rPr>
          <w:rFonts w:ascii="Times New Roman" w:hAnsi="Times New Roman"/>
        </w:rPr>
        <w:t xml:space="preserve">Another issue with proficiency testing, depending on Ms. Waller’s results, </w:t>
      </w:r>
      <w:proofErr w:type="gramStart"/>
      <w:r w:rsidR="00872EB4">
        <w:rPr>
          <w:rFonts w:ascii="Times New Roman" w:hAnsi="Times New Roman"/>
        </w:rPr>
        <w:t>are</w:t>
      </w:r>
      <w:proofErr w:type="gramEnd"/>
      <w:r w:rsidR="00872EB4">
        <w:rPr>
          <w:rFonts w:ascii="Times New Roman" w:hAnsi="Times New Roman"/>
        </w:rPr>
        <w:t xml:space="preserve"> whether she knew that she was being tested, and for that reason, may have been more meticulous than in regular practice.  </w:t>
      </w:r>
    </w:p>
    <w:p w:rsidR="003F37BD" w:rsidRDefault="003F37BD" w:rsidP="00872EB4">
      <w:pPr>
        <w:spacing w:line="480" w:lineRule="auto"/>
        <w:ind w:right="720" w:firstLine="720"/>
        <w:jc w:val="both"/>
        <w:rPr>
          <w:rFonts w:ascii="Times New Roman" w:hAnsi="Times New Roman"/>
        </w:rPr>
      </w:pPr>
      <w:r>
        <w:rPr>
          <w:rFonts w:ascii="Times New Roman" w:hAnsi="Times New Roman"/>
        </w:rPr>
        <w:t xml:space="preserve">As such, </w:t>
      </w:r>
      <w:r w:rsidR="00C06395">
        <w:rPr>
          <w:rFonts w:ascii="Times New Roman" w:hAnsi="Times New Roman"/>
        </w:rPr>
        <w:t>Ms. Waller</w:t>
      </w:r>
      <w:r>
        <w:rPr>
          <w:rFonts w:ascii="Times New Roman" w:hAnsi="Times New Roman"/>
        </w:rPr>
        <w:t xml:space="preserve"> does not possess the requisite training</w:t>
      </w:r>
      <w:r w:rsidR="00577668">
        <w:rPr>
          <w:rFonts w:ascii="Times New Roman" w:hAnsi="Times New Roman"/>
        </w:rPr>
        <w:t xml:space="preserve"> and experience pursuant to </w:t>
      </w:r>
      <w:r w:rsidR="00577668" w:rsidRPr="00577668">
        <w:rPr>
          <w:rFonts w:ascii="Times New Roman" w:hAnsi="Times New Roman"/>
        </w:rPr>
        <w:t>N.C. Gen. Stat. 8C-702</w:t>
      </w:r>
      <w:r w:rsidR="00577668">
        <w:rPr>
          <w:rFonts w:ascii="Times New Roman" w:hAnsi="Times New Roman"/>
        </w:rPr>
        <w:t xml:space="preserve"> </w:t>
      </w:r>
      <w:r w:rsidR="004D688E">
        <w:rPr>
          <w:rFonts w:ascii="Times New Roman" w:hAnsi="Times New Roman"/>
        </w:rPr>
        <w:t xml:space="preserve">to testify as an expert in this case. </w:t>
      </w:r>
    </w:p>
    <w:p w:rsidR="0095618C" w:rsidRPr="00A019BF" w:rsidRDefault="00577668" w:rsidP="0095618C">
      <w:pPr>
        <w:pStyle w:val="ListParagraph"/>
        <w:numPr>
          <w:ilvl w:val="0"/>
          <w:numId w:val="4"/>
        </w:numPr>
        <w:spacing w:line="480" w:lineRule="auto"/>
        <w:ind w:right="720"/>
        <w:jc w:val="both"/>
        <w:rPr>
          <w:rFonts w:ascii="Times New Roman" w:hAnsi="Times New Roman"/>
        </w:rPr>
      </w:pPr>
      <w:r>
        <w:rPr>
          <w:rFonts w:ascii="Times New Roman" w:hAnsi="Times New Roman"/>
          <w:b/>
        </w:rPr>
        <w:t xml:space="preserve">Ms. Waller’s testimony is not </w:t>
      </w:r>
      <w:r w:rsidR="0095618C">
        <w:rPr>
          <w:rFonts w:ascii="Times New Roman" w:hAnsi="Times New Roman"/>
          <w:b/>
        </w:rPr>
        <w:t xml:space="preserve">the product of reliable principles and methods. </w:t>
      </w:r>
    </w:p>
    <w:p w:rsidR="00DA371B" w:rsidRDefault="0008284E" w:rsidP="0008284E">
      <w:pPr>
        <w:spacing w:line="480" w:lineRule="auto"/>
        <w:ind w:firstLine="360"/>
        <w:rPr>
          <w:rFonts w:ascii="Times New Roman" w:hAnsi="Times New Roman"/>
        </w:rPr>
      </w:pPr>
      <w:r>
        <w:rPr>
          <w:rFonts w:ascii="Times New Roman" w:hAnsi="Times New Roman"/>
        </w:rPr>
        <w:t xml:space="preserve">According to the Durham Police Department </w:t>
      </w:r>
      <w:r w:rsidRPr="0008284E">
        <w:rPr>
          <w:rFonts w:ascii="Times New Roman" w:hAnsi="Times New Roman"/>
          <w:bCs/>
        </w:rPr>
        <w:t>Forensic Services Division Friction Ridge Examination Manual</w:t>
      </w:r>
      <w:r>
        <w:rPr>
          <w:rFonts w:ascii="Times New Roman" w:hAnsi="Times New Roman"/>
        </w:rPr>
        <w:t xml:space="preserve">, the Durham Police Department employs the “ACE-V” method for Friction Ridge Examination.  </w:t>
      </w:r>
      <w:r w:rsidRPr="0008284E">
        <w:rPr>
          <w:rFonts w:ascii="Times New Roman" w:hAnsi="Times New Roman"/>
        </w:rPr>
        <w:t xml:space="preserve">Fingerprint examiners in the United States have used the “ACE-V” method for </w:t>
      </w:r>
      <w:r>
        <w:rPr>
          <w:rFonts w:ascii="Times New Roman" w:hAnsi="Times New Roman"/>
        </w:rPr>
        <w:t>more than</w:t>
      </w:r>
      <w:r w:rsidRPr="0008284E">
        <w:rPr>
          <w:rFonts w:ascii="Times New Roman" w:hAnsi="Times New Roman"/>
        </w:rPr>
        <w:t xml:space="preserve"> fifty years, with surprisingly little change in the basic methodology. </w:t>
      </w:r>
      <w:r w:rsidRPr="0008284E">
        <w:rPr>
          <w:rFonts w:ascii="Times New Roman" w:hAnsi="Times New Roman"/>
          <w:i/>
        </w:rPr>
        <w:t xml:space="preserve">See </w:t>
      </w:r>
      <w:r w:rsidRPr="0008284E">
        <w:rPr>
          <w:rFonts w:ascii="Times New Roman" w:hAnsi="Times New Roman"/>
        </w:rPr>
        <w:t xml:space="preserve">National Research Council of the National Academy of Sciences, Committee on Identifying the Needs of the Forensic Science Community, </w:t>
      </w:r>
      <w:r w:rsidRPr="0008284E">
        <w:rPr>
          <w:rFonts w:ascii="Times New Roman" w:hAnsi="Times New Roman"/>
          <w:i/>
          <w:iCs/>
        </w:rPr>
        <w:t>Strengthening Forensic Science in the United States: A Path Forward</w:t>
      </w:r>
      <w:r w:rsidRPr="0008284E">
        <w:rPr>
          <w:rFonts w:ascii="Times New Roman" w:hAnsi="Times New Roman"/>
        </w:rPr>
        <w:t xml:space="preserve"> 137 (2009) [hereinafter “NAS Report (2009)”]; </w:t>
      </w:r>
      <w:r>
        <w:rPr>
          <w:rFonts w:ascii="Times New Roman" w:hAnsi="Times New Roman"/>
        </w:rPr>
        <w:t xml:space="preserve">National Institute of Standards and </w:t>
      </w:r>
      <w:r>
        <w:rPr>
          <w:rFonts w:ascii="Times New Roman" w:hAnsi="Times New Roman"/>
        </w:rPr>
        <w:lastRenderedPageBreak/>
        <w:t xml:space="preserve">Technology (NIST), Expert Working Group on Human Factors in Latent Print Analysis, </w:t>
      </w:r>
      <w:r w:rsidRPr="007D1FEA">
        <w:rPr>
          <w:rFonts w:ascii="Times New Roman" w:hAnsi="Times New Roman"/>
          <w:i/>
        </w:rPr>
        <w:t>Latent Print Examination and Human Factors: Improving the Practice through a Systems Approach</w:t>
      </w:r>
      <w:r>
        <w:rPr>
          <w:rFonts w:ascii="Times New Roman" w:hAnsi="Times New Roman"/>
        </w:rPr>
        <w:t xml:space="preserve"> 3 (2012) [hereinafter “NIST Report”] </w:t>
      </w:r>
      <w:r w:rsidRPr="0008284E">
        <w:rPr>
          <w:rFonts w:ascii="Times New Roman" w:hAnsi="Times New Roman"/>
        </w:rPr>
        <w:t xml:space="preserve">at 3; PCAST Report at 89. In the first step, “analysis” </w:t>
      </w:r>
      <w:r w:rsidRPr="0008284E">
        <w:rPr>
          <w:rFonts w:ascii="Times New Roman" w:hAnsi="Times New Roman"/>
          <w:b/>
        </w:rPr>
        <w:t>(A)</w:t>
      </w:r>
      <w:r w:rsidRPr="0008284E">
        <w:rPr>
          <w:rFonts w:ascii="Times New Roman" w:hAnsi="Times New Roman"/>
        </w:rPr>
        <w:t xml:space="preserve">, the examiner purports to study the latent (unknown) print and assess the quality and quantity of detail present. </w:t>
      </w:r>
      <w:proofErr w:type="gramStart"/>
      <w:r w:rsidRPr="0008284E">
        <w:rPr>
          <w:rFonts w:ascii="Times New Roman" w:hAnsi="Times New Roman"/>
        </w:rPr>
        <w:t>NIST Report at 3.</w:t>
      </w:r>
      <w:proofErr w:type="gramEnd"/>
      <w:r w:rsidRPr="0008284E">
        <w:rPr>
          <w:rFonts w:ascii="Times New Roman" w:hAnsi="Times New Roman"/>
        </w:rPr>
        <w:t xml:space="preserve"> Details might include </w:t>
      </w:r>
      <w:proofErr w:type="gramStart"/>
      <w:r w:rsidRPr="0008284E">
        <w:rPr>
          <w:rFonts w:ascii="Times New Roman" w:hAnsi="Times New Roman"/>
        </w:rPr>
        <w:t>both “class” characteristics—characteristics shared or</w:t>
      </w:r>
      <w:proofErr w:type="gramEnd"/>
      <w:r w:rsidRPr="0008284E">
        <w:rPr>
          <w:rFonts w:ascii="Times New Roman" w:hAnsi="Times New Roman"/>
        </w:rPr>
        <w:t xml:space="preserve"> common within certain subgroups of prints—and “individual” characteristics or “minutiae”—characteristics not known to be shared or common within subgroups. S.H. James, </w:t>
      </w:r>
      <w:r w:rsidRPr="0008284E">
        <w:rPr>
          <w:rFonts w:ascii="Times New Roman" w:hAnsi="Times New Roman"/>
          <w:i/>
          <w:iCs/>
        </w:rPr>
        <w:t>Forensic Science</w:t>
      </w:r>
      <w:r w:rsidRPr="0008284E">
        <w:rPr>
          <w:rFonts w:ascii="Times New Roman" w:hAnsi="Times New Roman"/>
        </w:rPr>
        <w:t xml:space="preserve"> 4th Edition, CRC Press at 330. </w:t>
      </w:r>
    </w:p>
    <w:p w:rsidR="00C06395" w:rsidRDefault="0008284E" w:rsidP="00DA371B">
      <w:pPr>
        <w:spacing w:line="480" w:lineRule="auto"/>
        <w:ind w:firstLine="360"/>
        <w:rPr>
          <w:rFonts w:ascii="Times New Roman" w:hAnsi="Times New Roman"/>
        </w:rPr>
      </w:pPr>
      <w:r w:rsidRPr="0008284E">
        <w:rPr>
          <w:rFonts w:ascii="Times New Roman" w:hAnsi="Times New Roman"/>
        </w:rPr>
        <w:t xml:space="preserve">The examiner then “compares” </w:t>
      </w:r>
      <w:r w:rsidRPr="0008284E">
        <w:rPr>
          <w:rFonts w:ascii="Times New Roman" w:hAnsi="Times New Roman"/>
          <w:b/>
        </w:rPr>
        <w:t>(C)</w:t>
      </w:r>
      <w:r w:rsidRPr="0008284E">
        <w:rPr>
          <w:rFonts w:ascii="Times New Roman" w:hAnsi="Times New Roman"/>
        </w:rPr>
        <w:t xml:space="preserve"> the latent print to a “known” print of a suspect.</w:t>
      </w:r>
      <w:r>
        <w:rPr>
          <w:rStyle w:val="FootnoteReference"/>
          <w:rFonts w:ascii="Times New Roman" w:hAnsi="Times New Roman"/>
        </w:rPr>
        <w:footnoteReference w:id="1"/>
      </w:r>
      <w:r w:rsidRPr="0008284E">
        <w:rPr>
          <w:rFonts w:ascii="Times New Roman" w:hAnsi="Times New Roman"/>
          <w:i/>
        </w:rPr>
        <w:t xml:space="preserve"> See </w:t>
      </w:r>
      <w:r w:rsidRPr="0008284E">
        <w:rPr>
          <w:rFonts w:ascii="Times New Roman" w:hAnsi="Times New Roman"/>
        </w:rPr>
        <w:t xml:space="preserve">PCAST Report at 89. Based on his/her subjective judgment and experience, the examiner documents what s/he believes to be similarities and differences between the latent and known print(s). </w:t>
      </w:r>
      <w:proofErr w:type="gramStart"/>
      <w:r w:rsidRPr="0008284E">
        <w:rPr>
          <w:rFonts w:ascii="Times New Roman" w:hAnsi="Times New Roman"/>
        </w:rPr>
        <w:t>NIST Report at 3.</w:t>
      </w:r>
      <w:proofErr w:type="gramEnd"/>
      <w:r w:rsidRPr="0008284E">
        <w:rPr>
          <w:rFonts w:ascii="Times New Roman" w:hAnsi="Times New Roman"/>
        </w:rPr>
        <w:t xml:space="preserve"> To avoid contaminating the comparison stage with cognitive bias, the examiner would have to fully analyze and document the characteristics of the latent print before comparing it to any known suspect print or computer-generated list of known prints. </w:t>
      </w:r>
      <w:r w:rsidRPr="0008284E">
        <w:rPr>
          <w:rFonts w:ascii="Times New Roman" w:hAnsi="Times New Roman"/>
          <w:i/>
        </w:rPr>
        <w:t>Id.</w:t>
      </w:r>
      <w:r w:rsidRPr="0008284E">
        <w:rPr>
          <w:rFonts w:ascii="Times New Roman" w:hAnsi="Times New Roman"/>
        </w:rPr>
        <w:t>; PCAST Report at 99-100.</w:t>
      </w:r>
      <w:r w:rsidRPr="0008284E">
        <w:rPr>
          <w:rFonts w:ascii="Times New Roman" w:hAnsi="Times New Roman"/>
          <w:i/>
        </w:rPr>
        <w:t xml:space="preserve"> </w:t>
      </w:r>
      <w:r w:rsidRPr="0008284E">
        <w:rPr>
          <w:rFonts w:ascii="Times New Roman" w:hAnsi="Times New Roman"/>
        </w:rPr>
        <w:t xml:space="preserve">The process by which an examiner fully documents the characteristics of a latent print prior to conducting the comparison is known as “linear ACE-V.” </w:t>
      </w:r>
      <w:proofErr w:type="gramStart"/>
      <w:r w:rsidRPr="0008284E">
        <w:rPr>
          <w:rFonts w:ascii="Times New Roman" w:hAnsi="Times New Roman"/>
        </w:rPr>
        <w:t>PCAST Report at 17.</w:t>
      </w:r>
      <w:proofErr w:type="gramEnd"/>
      <w:r w:rsidRPr="0008284E">
        <w:rPr>
          <w:rFonts w:ascii="Times New Roman" w:hAnsi="Times New Roman"/>
        </w:rPr>
        <w:t xml:space="preserve"> Nonetheless, many examiners fail to conduct such independent documentation at the analysis stage. </w:t>
      </w:r>
    </w:p>
    <w:p w:rsidR="000B0D31" w:rsidRDefault="0008284E" w:rsidP="00DA371B">
      <w:pPr>
        <w:spacing w:line="480" w:lineRule="auto"/>
        <w:ind w:firstLine="360"/>
        <w:rPr>
          <w:rFonts w:ascii="Times New Roman" w:hAnsi="Times New Roman"/>
        </w:rPr>
      </w:pPr>
      <w:r w:rsidRPr="00DA371B">
        <w:rPr>
          <w:rFonts w:ascii="Times New Roman" w:hAnsi="Times New Roman"/>
        </w:rPr>
        <w:t xml:space="preserve">The examiner then “evaluates” </w:t>
      </w:r>
      <w:r w:rsidRPr="00DA371B">
        <w:rPr>
          <w:rFonts w:ascii="Times New Roman" w:hAnsi="Times New Roman"/>
          <w:b/>
        </w:rPr>
        <w:t>(E)</w:t>
      </w:r>
      <w:r w:rsidRPr="00DA371B">
        <w:rPr>
          <w:rFonts w:ascii="Times New Roman" w:hAnsi="Times New Roman"/>
        </w:rPr>
        <w:t xml:space="preserve"> what s/he views as the similarities and differences between the prints and, again based on his/her subjective judgment and experience, decides his/her level of certainty about whether the prints have a common source and, if so, how to convey his/her opinion as to whether the two come from the same source. </w:t>
      </w:r>
      <w:r w:rsidRPr="00DA371B">
        <w:rPr>
          <w:rFonts w:ascii="Times New Roman" w:hAnsi="Times New Roman"/>
          <w:i/>
        </w:rPr>
        <w:t xml:space="preserve">Id. </w:t>
      </w:r>
    </w:p>
    <w:p w:rsidR="00A019BF" w:rsidRPr="00A019BF" w:rsidRDefault="0008284E" w:rsidP="000B0D31">
      <w:pPr>
        <w:spacing w:line="480" w:lineRule="auto"/>
        <w:ind w:firstLine="720"/>
        <w:rPr>
          <w:rFonts w:ascii="Times New Roman" w:hAnsi="Times New Roman"/>
        </w:rPr>
      </w:pPr>
      <w:r w:rsidRPr="00DA371B">
        <w:rPr>
          <w:rFonts w:ascii="Times New Roman" w:hAnsi="Times New Roman"/>
        </w:rPr>
        <w:lastRenderedPageBreak/>
        <w:t xml:space="preserve">Finally, in most latent print analysis, a second examiner will “verify” </w:t>
      </w:r>
      <w:r w:rsidRPr="00DA371B">
        <w:rPr>
          <w:rFonts w:ascii="Times New Roman" w:hAnsi="Times New Roman"/>
          <w:b/>
        </w:rPr>
        <w:t xml:space="preserve">(V) </w:t>
      </w:r>
      <w:r w:rsidRPr="00DA371B">
        <w:rPr>
          <w:rFonts w:ascii="Times New Roman" w:hAnsi="Times New Roman"/>
        </w:rPr>
        <w:t xml:space="preserve">the initial examiner’s analysis. The verification step could theoretically involve a wholly independent and “blind” comprehensive analysis of the latent print, comparison to the </w:t>
      </w:r>
      <w:proofErr w:type="gramStart"/>
      <w:r w:rsidRPr="00DA371B">
        <w:rPr>
          <w:rFonts w:ascii="Times New Roman" w:hAnsi="Times New Roman"/>
        </w:rPr>
        <w:t>known</w:t>
      </w:r>
      <w:proofErr w:type="gramEnd"/>
      <w:r w:rsidRPr="00DA371B">
        <w:rPr>
          <w:rFonts w:ascii="Times New Roman" w:hAnsi="Times New Roman"/>
        </w:rPr>
        <w:t xml:space="preserve"> prints, and evaluation by a second examiner. Unfortunately, most “verification” in common latent print examiner practice consists merely of a dependent, non-blind review, meaning that the second examiner sees the analysis and conclusions drawn by the first examiner and knows which examiner s/he is reviewing. </w:t>
      </w:r>
      <w:proofErr w:type="gramStart"/>
      <w:r w:rsidRPr="00DA371B">
        <w:rPr>
          <w:rFonts w:ascii="Times New Roman" w:hAnsi="Times New Roman"/>
        </w:rPr>
        <w:t>NIST Report at 3.</w:t>
      </w:r>
      <w:proofErr w:type="gramEnd"/>
      <w:r w:rsidRPr="00DA371B">
        <w:rPr>
          <w:rFonts w:ascii="Times New Roman" w:hAnsi="Times New Roman"/>
        </w:rPr>
        <w:t xml:space="preserve"> </w:t>
      </w:r>
      <w:r w:rsidRPr="00DA371B">
        <w:rPr>
          <w:rFonts w:ascii="Times New Roman" w:hAnsi="Times New Roman"/>
          <w:i/>
        </w:rPr>
        <w:t>See also</w:t>
      </w:r>
      <w:r w:rsidRPr="00DA371B">
        <w:rPr>
          <w:rFonts w:ascii="Times New Roman" w:hAnsi="Times New Roman"/>
        </w:rPr>
        <w:t xml:space="preserve"> NAS Report (2009) at 138.</w:t>
      </w:r>
    </w:p>
    <w:p w:rsidR="00DA371B" w:rsidRPr="00DA371B" w:rsidRDefault="00DA371B" w:rsidP="00DA371B">
      <w:pPr>
        <w:spacing w:line="480" w:lineRule="auto"/>
        <w:ind w:firstLine="720"/>
        <w:rPr>
          <w:rFonts w:ascii="Times New Roman" w:hAnsi="Times New Roman"/>
        </w:rPr>
      </w:pPr>
      <w:proofErr w:type="spellStart"/>
      <w:r>
        <w:rPr>
          <w:rFonts w:ascii="Times New Roman" w:hAnsi="Times New Roman"/>
          <w:i/>
        </w:rPr>
        <w:t>Daubert</w:t>
      </w:r>
      <w:proofErr w:type="spellEnd"/>
      <w:r>
        <w:rPr>
          <w:rFonts w:ascii="Times New Roman" w:hAnsi="Times New Roman"/>
          <w:i/>
        </w:rPr>
        <w:t xml:space="preserve"> v. Merrell Dow Pharmaceuticals</w:t>
      </w:r>
      <w:r>
        <w:rPr>
          <w:rFonts w:ascii="Times New Roman" w:hAnsi="Times New Roman"/>
        </w:rPr>
        <w:t>, 509 U.S. 579, 592 (1993)</w:t>
      </w:r>
      <w:r>
        <w:rPr>
          <w:rFonts w:ascii="Times New Roman" w:hAnsi="Times New Roman"/>
          <w:i/>
        </w:rPr>
        <w:t xml:space="preserve">, </w:t>
      </w:r>
      <w:proofErr w:type="spellStart"/>
      <w:r>
        <w:rPr>
          <w:rFonts w:ascii="Times New Roman" w:hAnsi="Times New Roman"/>
          <w:i/>
        </w:rPr>
        <w:t>McGrady</w:t>
      </w:r>
      <w:proofErr w:type="spellEnd"/>
      <w:r>
        <w:rPr>
          <w:rFonts w:ascii="Times New Roman" w:hAnsi="Times New Roman"/>
        </w:rPr>
        <w:t xml:space="preserve">, and N.C. Gen. Stat </w:t>
      </w:r>
      <w:r w:rsidRPr="00953B3A">
        <w:rPr>
          <w:rFonts w:ascii="Times New Roman" w:hAnsi="Times New Roman"/>
        </w:rPr>
        <w:t>§ 8C-1, Rule 702(a</w:t>
      </w:r>
      <w:r>
        <w:rPr>
          <w:rFonts w:ascii="Times New Roman" w:hAnsi="Times New Roman"/>
        </w:rPr>
        <w:t xml:space="preserve">) requires both that an expert’s testimony be the </w:t>
      </w:r>
      <w:r w:rsidRPr="00205701">
        <w:rPr>
          <w:rFonts w:ascii="Times New Roman" w:hAnsi="Times New Roman"/>
        </w:rPr>
        <w:t>“product of reliable principles and methods” and that the expert “reliably applied the principles and methods to the facts of the case.”</w:t>
      </w:r>
      <w:r w:rsidR="000B0D31">
        <w:rPr>
          <w:rFonts w:ascii="Times New Roman" w:hAnsi="Times New Roman"/>
        </w:rPr>
        <w:t xml:space="preserve"> </w:t>
      </w:r>
      <w:proofErr w:type="spellStart"/>
      <w:proofErr w:type="gramStart"/>
      <w:r w:rsidR="000B0D31">
        <w:rPr>
          <w:rFonts w:ascii="Times New Roman" w:hAnsi="Times New Roman"/>
          <w:i/>
        </w:rPr>
        <w:t>McGrady</w:t>
      </w:r>
      <w:proofErr w:type="spellEnd"/>
      <w:r w:rsidR="000B0D31">
        <w:rPr>
          <w:rFonts w:ascii="Times New Roman" w:hAnsi="Times New Roman"/>
        </w:rPr>
        <w:t xml:space="preserve"> at 890.</w:t>
      </w:r>
      <w:proofErr w:type="gramEnd"/>
      <w:r w:rsidR="000B0D31">
        <w:rPr>
          <w:rFonts w:ascii="Times New Roman" w:hAnsi="Times New Roman"/>
        </w:rPr>
        <w:t xml:space="preserve">  </w:t>
      </w:r>
      <w:r>
        <w:rPr>
          <w:rFonts w:ascii="Times New Roman" w:hAnsi="Times New Roman"/>
        </w:rPr>
        <w:t xml:space="preserve">While the </w:t>
      </w:r>
      <w:proofErr w:type="spellStart"/>
      <w:r>
        <w:rPr>
          <w:rFonts w:ascii="Times New Roman" w:hAnsi="Times New Roman"/>
          <w:i/>
        </w:rPr>
        <w:t>Daubert</w:t>
      </w:r>
      <w:proofErr w:type="spellEnd"/>
      <w:r>
        <w:rPr>
          <w:rFonts w:ascii="Times New Roman" w:hAnsi="Times New Roman"/>
          <w:i/>
        </w:rPr>
        <w:t xml:space="preserve"> </w:t>
      </w:r>
      <w:r>
        <w:rPr>
          <w:rFonts w:ascii="Times New Roman" w:hAnsi="Times New Roman"/>
        </w:rPr>
        <w:t>Court</w:t>
      </w:r>
      <w:r>
        <w:rPr>
          <w:rFonts w:ascii="Times New Roman" w:hAnsi="Times New Roman"/>
          <w:i/>
        </w:rPr>
        <w:t xml:space="preserve"> </w:t>
      </w:r>
      <w:r>
        <w:rPr>
          <w:rFonts w:ascii="Times New Roman" w:hAnsi="Times New Roman"/>
        </w:rPr>
        <w:t xml:space="preserve">made clear that the ultimate determination of “evidentiary relevance and reliability” is a legal question to be determined by the trial judge, </w:t>
      </w:r>
      <w:proofErr w:type="spellStart"/>
      <w:r w:rsidRPr="00685A8D">
        <w:rPr>
          <w:rFonts w:ascii="Times New Roman" w:hAnsi="Times New Roman"/>
          <w:i/>
        </w:rPr>
        <w:t>Daubert</w:t>
      </w:r>
      <w:proofErr w:type="spellEnd"/>
      <w:r>
        <w:rPr>
          <w:rFonts w:ascii="Times New Roman" w:hAnsi="Times New Roman"/>
        </w:rPr>
        <w:t xml:space="preserve">, 509 U.S. at 589, </w:t>
      </w:r>
      <w:r w:rsidRPr="00685A8D">
        <w:rPr>
          <w:rFonts w:ascii="Times New Roman" w:hAnsi="Times New Roman"/>
        </w:rPr>
        <w:t>it</w:t>
      </w:r>
      <w:r>
        <w:rPr>
          <w:rFonts w:ascii="Times New Roman" w:hAnsi="Times New Roman"/>
        </w:rPr>
        <w:t xml:space="preserve"> also made clear that evidentiary reliability in the context of forensic expert testimony is determined by the underlying method’s “scientific validity.” </w:t>
      </w:r>
      <w:proofErr w:type="gramStart"/>
      <w:r>
        <w:rPr>
          <w:rFonts w:ascii="Times New Roman" w:hAnsi="Times New Roman"/>
          <w:i/>
        </w:rPr>
        <w:t>Id</w:t>
      </w:r>
      <w:r>
        <w:rPr>
          <w:rFonts w:ascii="Times New Roman" w:hAnsi="Times New Roman"/>
        </w:rPr>
        <w:t>. at 594-95.</w:t>
      </w:r>
      <w:proofErr w:type="gramEnd"/>
    </w:p>
    <w:p w:rsidR="002936FA" w:rsidRDefault="00DA371B" w:rsidP="00A019BF">
      <w:pPr>
        <w:spacing w:line="480" w:lineRule="auto"/>
        <w:ind w:right="720" w:firstLine="720"/>
        <w:jc w:val="both"/>
        <w:rPr>
          <w:rFonts w:ascii="Times New Roman" w:hAnsi="Times New Roman"/>
        </w:rPr>
      </w:pPr>
      <w:r>
        <w:rPr>
          <w:rFonts w:ascii="Times New Roman" w:hAnsi="Times New Roman"/>
        </w:rPr>
        <w:t xml:space="preserve">A method’s “scientific validity” rests on a number of factors identified by the scientific community itself. </w:t>
      </w:r>
      <w:r w:rsidR="00F15F0A" w:rsidRPr="00F15F0A">
        <w:rPr>
          <w:rFonts w:ascii="Times New Roman" w:hAnsi="Times New Roman"/>
        </w:rPr>
        <w:t xml:space="preserve">In </w:t>
      </w:r>
      <w:proofErr w:type="spellStart"/>
      <w:r w:rsidR="00F15F0A">
        <w:rPr>
          <w:rFonts w:ascii="Times New Roman" w:hAnsi="Times New Roman"/>
          <w:i/>
        </w:rPr>
        <w:t>McGrady</w:t>
      </w:r>
      <w:proofErr w:type="spellEnd"/>
      <w:r w:rsidR="00F15F0A">
        <w:rPr>
          <w:rFonts w:ascii="Times New Roman" w:hAnsi="Times New Roman"/>
        </w:rPr>
        <w:t xml:space="preserve">, </w:t>
      </w:r>
      <w:r w:rsidR="00F15F0A" w:rsidRPr="00F15F0A">
        <w:rPr>
          <w:rFonts w:ascii="Times New Roman" w:hAnsi="Times New Roman"/>
        </w:rPr>
        <w:t xml:space="preserve">the North Carolina Supreme Court explained that </w:t>
      </w:r>
      <w:proofErr w:type="spellStart"/>
      <w:r w:rsidR="00F15F0A" w:rsidRPr="00F15F0A">
        <w:rPr>
          <w:rFonts w:ascii="Times New Roman" w:hAnsi="Times New Roman"/>
          <w:i/>
        </w:rPr>
        <w:t>Daubert</w:t>
      </w:r>
      <w:proofErr w:type="spellEnd"/>
      <w:r w:rsidR="00F15F0A" w:rsidRPr="00F15F0A">
        <w:rPr>
          <w:rFonts w:ascii="Times New Roman" w:hAnsi="Times New Roman"/>
        </w:rPr>
        <w:t xml:space="preserve"> articulated five factors from a </w:t>
      </w:r>
      <w:proofErr w:type="spellStart"/>
      <w:r w:rsidR="00F15F0A" w:rsidRPr="00F15F0A">
        <w:rPr>
          <w:rFonts w:ascii="Times New Roman" w:hAnsi="Times New Roman"/>
        </w:rPr>
        <w:t>nonexhaustive</w:t>
      </w:r>
      <w:proofErr w:type="spellEnd"/>
      <w:r w:rsidR="00F15F0A" w:rsidRPr="00F15F0A">
        <w:rPr>
          <w:rFonts w:ascii="Times New Roman" w:hAnsi="Times New Roman"/>
        </w:rPr>
        <w:t xml:space="preserve"> list that can have a bearing on reliability: (1) “Whether a theory or technique…can be (and has been) tested;” (2) “whether the theory or technique has been subjected to peer review and publication”; (3) the theory or technique’s known or potential rate of error”; (4) “the existence and maintenance of standards controlling the technique’s operation”; and (5) whether the theory or technique’ has achieved general acceptance” in its field.</w:t>
      </w:r>
      <w:r w:rsidR="000C204C">
        <w:rPr>
          <w:rFonts w:ascii="Times New Roman" w:hAnsi="Times New Roman"/>
        </w:rPr>
        <w:t xml:space="preserve"> </w:t>
      </w:r>
    </w:p>
    <w:p w:rsidR="00F15F0A" w:rsidRDefault="000C204C" w:rsidP="00156819">
      <w:pPr>
        <w:spacing w:line="480" w:lineRule="auto"/>
        <w:ind w:firstLine="720"/>
        <w:rPr>
          <w:rFonts w:ascii="Times New Roman" w:hAnsi="Times New Roman"/>
        </w:rPr>
      </w:pPr>
      <w:r>
        <w:rPr>
          <w:rFonts w:ascii="Times New Roman" w:hAnsi="Times New Roman"/>
        </w:rPr>
        <w:lastRenderedPageBreak/>
        <w:t xml:space="preserve">The PCAST Report acknowledged </w:t>
      </w:r>
      <w:proofErr w:type="spellStart"/>
      <w:r>
        <w:rPr>
          <w:rFonts w:ascii="Times New Roman" w:hAnsi="Times New Roman"/>
          <w:i/>
        </w:rPr>
        <w:t>Daubert</w:t>
      </w:r>
      <w:r>
        <w:rPr>
          <w:rFonts w:ascii="Times New Roman" w:hAnsi="Times New Roman"/>
        </w:rPr>
        <w:t>’s</w:t>
      </w:r>
      <w:proofErr w:type="spellEnd"/>
      <w:r>
        <w:rPr>
          <w:rFonts w:ascii="Times New Roman" w:hAnsi="Times New Roman"/>
        </w:rPr>
        <w:t xml:space="preserve"> charge</w:t>
      </w:r>
      <w:r>
        <w:rPr>
          <w:rFonts w:ascii="Times New Roman" w:hAnsi="Times New Roman"/>
          <w:i/>
        </w:rPr>
        <w:t xml:space="preserve"> </w:t>
      </w:r>
      <w:r>
        <w:rPr>
          <w:rFonts w:ascii="Times New Roman" w:hAnsi="Times New Roman"/>
        </w:rPr>
        <w:t>that evidentiary reliability turns on a method’s scientific validity, and explained that a method is not “scientifically valid” unless it has both “</w:t>
      </w:r>
      <w:r>
        <w:rPr>
          <w:rFonts w:ascii="Times New Roman" w:hAnsi="Times New Roman"/>
          <w:i/>
        </w:rPr>
        <w:t>foundational validity</w:t>
      </w:r>
      <w:r>
        <w:rPr>
          <w:rFonts w:ascii="Times New Roman" w:hAnsi="Times New Roman"/>
        </w:rPr>
        <w:t>”</w:t>
      </w:r>
      <w:r w:rsidR="00156819">
        <w:rPr>
          <w:rFonts w:ascii="Times New Roman" w:hAnsi="Times New Roman"/>
        </w:rPr>
        <w:t xml:space="preserve"> (i.e. “products of reliable principles and methods”)</w:t>
      </w:r>
      <w:r>
        <w:rPr>
          <w:rFonts w:ascii="Times New Roman" w:hAnsi="Times New Roman"/>
        </w:rPr>
        <w:t xml:space="preserve"> and “</w:t>
      </w:r>
      <w:r>
        <w:rPr>
          <w:rFonts w:ascii="Times New Roman" w:hAnsi="Times New Roman"/>
          <w:i/>
        </w:rPr>
        <w:t>validity as applied</w:t>
      </w:r>
      <w:r w:rsidR="00156819">
        <w:rPr>
          <w:rFonts w:ascii="Times New Roman" w:hAnsi="Times New Roman"/>
        </w:rPr>
        <w:t>” (i.e. “t</w:t>
      </w:r>
      <w:r w:rsidR="00156819" w:rsidRPr="00953B3A">
        <w:rPr>
          <w:rFonts w:ascii="Times New Roman" w:hAnsi="Times New Roman"/>
        </w:rPr>
        <w:t>he witness has applied the principles and methods reliably</w:t>
      </w:r>
      <w:r w:rsidR="00156819">
        <w:rPr>
          <w:rFonts w:ascii="Times New Roman" w:hAnsi="Times New Roman"/>
        </w:rPr>
        <w:t xml:space="preserve"> </w:t>
      </w:r>
      <w:r w:rsidR="00156819" w:rsidRPr="00953B3A">
        <w:rPr>
          <w:rFonts w:ascii="Times New Roman" w:hAnsi="Times New Roman"/>
        </w:rPr>
        <w:t>to the facts of the case</w:t>
      </w:r>
      <w:r w:rsidR="00156819">
        <w:rPr>
          <w:rFonts w:ascii="Times New Roman" w:hAnsi="Times New Roman"/>
        </w:rPr>
        <w:t xml:space="preserve">”). </w:t>
      </w:r>
      <w:r>
        <w:rPr>
          <w:rFonts w:ascii="Times New Roman" w:hAnsi="Times New Roman"/>
        </w:rPr>
        <w:t>PCAST Report at 4 (emphasis added).</w:t>
      </w:r>
    </w:p>
    <w:p w:rsidR="005A7B6B" w:rsidRDefault="005A7B6B" w:rsidP="005A7B6B">
      <w:pPr>
        <w:spacing w:line="480" w:lineRule="auto"/>
        <w:ind w:firstLine="720"/>
        <w:rPr>
          <w:rFonts w:ascii="Times New Roman" w:hAnsi="Times New Roman"/>
        </w:rPr>
      </w:pPr>
      <w:r w:rsidRPr="005A7B6B">
        <w:rPr>
          <w:rFonts w:ascii="Times New Roman" w:hAnsi="Times New Roman"/>
        </w:rPr>
        <w:t xml:space="preserve">The first reason the expert testimony in this case is inadmissible under </w:t>
      </w:r>
      <w:proofErr w:type="spellStart"/>
      <w:r w:rsidRPr="005A7B6B">
        <w:rPr>
          <w:rFonts w:ascii="Times New Roman" w:hAnsi="Times New Roman"/>
          <w:i/>
        </w:rPr>
        <w:t>Daubert</w:t>
      </w:r>
      <w:proofErr w:type="spellEnd"/>
      <w:r w:rsidRPr="005A7B6B">
        <w:rPr>
          <w:rFonts w:ascii="Times New Roman" w:hAnsi="Times New Roman"/>
          <w:i/>
        </w:rPr>
        <w:t xml:space="preserve"> </w:t>
      </w:r>
      <w:r w:rsidR="000B0D31">
        <w:rPr>
          <w:rFonts w:ascii="Times New Roman" w:hAnsi="Times New Roman"/>
        </w:rPr>
        <w:t xml:space="preserve">and </w:t>
      </w:r>
      <w:proofErr w:type="spellStart"/>
      <w:r w:rsidR="000B0D31">
        <w:rPr>
          <w:rFonts w:ascii="Times New Roman" w:hAnsi="Times New Roman"/>
          <w:i/>
        </w:rPr>
        <w:t>McGrady</w:t>
      </w:r>
      <w:proofErr w:type="spellEnd"/>
      <w:r w:rsidR="000B0D31">
        <w:rPr>
          <w:rFonts w:ascii="Times New Roman" w:hAnsi="Times New Roman"/>
          <w:i/>
        </w:rPr>
        <w:t xml:space="preserve"> </w:t>
      </w:r>
      <w:r w:rsidRPr="005A7B6B">
        <w:rPr>
          <w:rFonts w:ascii="Times New Roman" w:hAnsi="Times New Roman"/>
        </w:rPr>
        <w:t>is that it is not “foundationally valid,” meaning that even in principle, the method has not “</w:t>
      </w:r>
      <w:proofErr w:type="gramStart"/>
      <w:r w:rsidRPr="005A7B6B">
        <w:rPr>
          <w:rFonts w:ascii="Times New Roman" w:hAnsi="Times New Roman"/>
        </w:rPr>
        <w:t>be[</w:t>
      </w:r>
      <w:proofErr w:type="gramEnd"/>
      <w:r w:rsidRPr="005A7B6B">
        <w:rPr>
          <w:rFonts w:ascii="Times New Roman" w:hAnsi="Times New Roman"/>
        </w:rPr>
        <w:t xml:space="preserve">en] shown, based on empirical studies, to be </w:t>
      </w:r>
      <w:r w:rsidRPr="005A7B6B">
        <w:rPr>
          <w:rFonts w:ascii="Times New Roman" w:hAnsi="Times New Roman"/>
          <w:i/>
        </w:rPr>
        <w:t>repeatable, reproducible</w:t>
      </w:r>
      <w:r w:rsidRPr="005A7B6B">
        <w:rPr>
          <w:rFonts w:ascii="Times New Roman" w:hAnsi="Times New Roman"/>
        </w:rPr>
        <w:t xml:space="preserve">, and </w:t>
      </w:r>
      <w:r w:rsidRPr="005A7B6B">
        <w:rPr>
          <w:rFonts w:ascii="Times New Roman" w:hAnsi="Times New Roman"/>
          <w:i/>
        </w:rPr>
        <w:t>accurate</w:t>
      </w:r>
      <w:r w:rsidRPr="005A7B6B">
        <w:rPr>
          <w:rFonts w:ascii="Times New Roman" w:hAnsi="Times New Roman"/>
        </w:rPr>
        <w:t xml:space="preserve">, at levels that have been measured and are appropriate to the intended application.” </w:t>
      </w:r>
      <w:proofErr w:type="gramStart"/>
      <w:r w:rsidRPr="005A7B6B">
        <w:rPr>
          <w:rFonts w:ascii="Times New Roman" w:hAnsi="Times New Roman"/>
        </w:rPr>
        <w:t>PCAST Report at 4.</w:t>
      </w:r>
      <w:proofErr w:type="gramEnd"/>
      <w:r w:rsidRPr="005A7B6B">
        <w:rPr>
          <w:rFonts w:ascii="Times New Roman" w:hAnsi="Times New Roman"/>
        </w:rPr>
        <w:t xml:space="preserve"> Specifically, ACE-V fails this test both because it does not offer a “reproducible and consistent” “matching rule,” </w:t>
      </w:r>
      <w:r w:rsidRPr="005A7B6B">
        <w:rPr>
          <w:rFonts w:ascii="Times New Roman" w:hAnsi="Times New Roman"/>
          <w:i/>
        </w:rPr>
        <w:t>id.</w:t>
      </w:r>
      <w:r w:rsidRPr="005A7B6B">
        <w:rPr>
          <w:rFonts w:ascii="Times New Roman" w:hAnsi="Times New Roman"/>
        </w:rPr>
        <w:t xml:space="preserve"> at 48, and because the false positive rate, to the extent it has been subject to two appropriately designed black box studies, is too high to justify reliance on the method as a basis for source attribution statements in a criminal trial.</w:t>
      </w:r>
    </w:p>
    <w:p w:rsidR="007F39F3" w:rsidRPr="007F39F3" w:rsidRDefault="007F39F3" w:rsidP="007F39F3">
      <w:pPr>
        <w:spacing w:line="480" w:lineRule="auto"/>
        <w:ind w:firstLine="720"/>
        <w:rPr>
          <w:rFonts w:ascii="Times New Roman" w:hAnsi="Times New Roman"/>
        </w:rPr>
      </w:pPr>
      <w:r>
        <w:rPr>
          <w:rFonts w:ascii="Times New Roman" w:hAnsi="Times New Roman"/>
        </w:rPr>
        <w:t xml:space="preserve">A significant issue of reliability is the transferability of an impression of that uniqueness to another surface. A latent impression is often only a fifth of the size of the record print. </w:t>
      </w:r>
      <w:r w:rsidRPr="007F39F3">
        <w:rPr>
          <w:rFonts w:ascii="Times New Roman" w:hAnsi="Times New Roman"/>
          <w:i/>
        </w:rPr>
        <w:t xml:space="preserve">See </w:t>
      </w:r>
    </w:p>
    <w:p w:rsidR="007F39F3" w:rsidRPr="007F39F3" w:rsidRDefault="007F39F3" w:rsidP="000B0D31">
      <w:pPr>
        <w:spacing w:line="480" w:lineRule="auto"/>
        <w:rPr>
          <w:rFonts w:ascii="Times New Roman" w:hAnsi="Times New Roman"/>
        </w:rPr>
      </w:pPr>
      <w:r w:rsidRPr="007F39F3">
        <w:rPr>
          <w:rFonts w:ascii="Times New Roman" w:hAnsi="Times New Roman"/>
          <w:i/>
        </w:rPr>
        <w:t>United States v. Mitchell</w:t>
      </w:r>
      <w:r w:rsidRPr="007F39F3">
        <w:rPr>
          <w:rFonts w:ascii="Times New Roman" w:hAnsi="Times New Roman"/>
        </w:rPr>
        <w:t xml:space="preserve">, 365 F.3d 215, 220–21 (3d Cir. 2004) (“Criminals generally do not leave behind full fingerprints on clean, flat surfaces. Rather, they leave fragments that are </w:t>
      </w:r>
    </w:p>
    <w:p w:rsidR="007F39F3" w:rsidRDefault="007F39F3" w:rsidP="007F39F3">
      <w:pPr>
        <w:spacing w:line="480" w:lineRule="auto"/>
        <w:rPr>
          <w:rFonts w:ascii="Times New Roman" w:hAnsi="Times New Roman"/>
        </w:rPr>
      </w:pPr>
      <w:proofErr w:type="gramStart"/>
      <w:r w:rsidRPr="007F39F3">
        <w:rPr>
          <w:rFonts w:ascii="Times New Roman" w:hAnsi="Times New Roman"/>
        </w:rPr>
        <w:t>often</w:t>
      </w:r>
      <w:proofErr w:type="gramEnd"/>
      <w:r w:rsidRPr="007F39F3">
        <w:rPr>
          <w:rFonts w:ascii="Times New Roman" w:hAnsi="Times New Roman"/>
        </w:rPr>
        <w:t xml:space="preserve"> distorted or marred by artifacts. . . . Testimony at the </w:t>
      </w:r>
      <w:proofErr w:type="spellStart"/>
      <w:proofErr w:type="gramStart"/>
      <w:r>
        <w:rPr>
          <w:rFonts w:ascii="Times New Roman" w:hAnsi="Times New Roman"/>
          <w:i/>
        </w:rPr>
        <w:t>Daubert</w:t>
      </w:r>
      <w:proofErr w:type="spellEnd"/>
      <w:r>
        <w:rPr>
          <w:rFonts w:ascii="Times New Roman" w:hAnsi="Times New Roman"/>
          <w:i/>
        </w:rPr>
        <w:t xml:space="preserve"> </w:t>
      </w:r>
      <w:r>
        <w:rPr>
          <w:rFonts w:ascii="Times New Roman" w:hAnsi="Times New Roman"/>
        </w:rPr>
        <w:t xml:space="preserve"> </w:t>
      </w:r>
      <w:r w:rsidRPr="007F39F3">
        <w:rPr>
          <w:rFonts w:ascii="Times New Roman" w:hAnsi="Times New Roman"/>
        </w:rPr>
        <w:t>hearing</w:t>
      </w:r>
      <w:proofErr w:type="gramEnd"/>
      <w:r w:rsidRPr="007F39F3">
        <w:rPr>
          <w:rFonts w:ascii="Times New Roman" w:hAnsi="Times New Roman"/>
        </w:rPr>
        <w:t xml:space="preserve"> suggested that the typical latent print is a fraction—perhaps 1/5th—of the size of a full fingerprint.”). “In the jargon, artifacts are generally small amounts of dirt or grease that masquerade as parts of the ridge impressions seen in a fingerprint, while distortions are produced by smudging or too much pressure in making the print, which tends to flatten the ridges on the finger and obscure their detail.”</w:t>
      </w:r>
      <w:r>
        <w:rPr>
          <w:rFonts w:ascii="Times New Roman" w:hAnsi="Times New Roman"/>
        </w:rPr>
        <w:t xml:space="preserve"> </w:t>
      </w:r>
      <w:r w:rsidR="000B0D31">
        <w:rPr>
          <w:rFonts w:ascii="Times New Roman" w:hAnsi="Times New Roman"/>
          <w:i/>
        </w:rPr>
        <w:t>Id</w:t>
      </w:r>
      <w:r w:rsidRPr="007F39F3">
        <w:rPr>
          <w:rFonts w:ascii="Times New Roman" w:hAnsi="Times New Roman"/>
        </w:rPr>
        <w:t>.</w:t>
      </w:r>
      <w:r>
        <w:rPr>
          <w:rFonts w:ascii="Times New Roman" w:hAnsi="Times New Roman"/>
        </w:rPr>
        <w:t xml:space="preserve"> </w:t>
      </w:r>
      <w:proofErr w:type="gramStart"/>
      <w:r w:rsidRPr="007F39F3">
        <w:rPr>
          <w:rFonts w:ascii="Times New Roman" w:hAnsi="Times New Roman"/>
        </w:rPr>
        <w:t>at 221 n.1</w:t>
      </w:r>
      <w:proofErr w:type="gramEnd"/>
      <w:r w:rsidRPr="007F39F3">
        <w:rPr>
          <w:rFonts w:ascii="Times New Roman" w:hAnsi="Times New Roman"/>
        </w:rPr>
        <w:t>.</w:t>
      </w:r>
    </w:p>
    <w:p w:rsidR="00222E0D" w:rsidRDefault="00222E0D" w:rsidP="00222E0D">
      <w:pPr>
        <w:spacing w:line="480" w:lineRule="auto"/>
        <w:ind w:firstLine="720"/>
        <w:rPr>
          <w:rFonts w:ascii="Times New Roman" w:hAnsi="Times New Roman"/>
        </w:rPr>
      </w:pPr>
      <w:r>
        <w:rPr>
          <w:rFonts w:ascii="Times New Roman" w:hAnsi="Times New Roman"/>
          <w:i/>
        </w:rPr>
        <w:lastRenderedPageBreak/>
        <w:t>F</w:t>
      </w:r>
      <w:r w:rsidRPr="00680529">
        <w:rPr>
          <w:rFonts w:ascii="Times New Roman" w:hAnsi="Times New Roman"/>
          <w:i/>
        </w:rPr>
        <w:t>inger patterns</w:t>
      </w:r>
      <w:r>
        <w:rPr>
          <w:rFonts w:ascii="Times New Roman" w:hAnsi="Times New Roman"/>
        </w:rPr>
        <w:t xml:space="preserve"> are different from the </w:t>
      </w:r>
      <w:r w:rsidRPr="00680529">
        <w:rPr>
          <w:rFonts w:ascii="Times New Roman" w:hAnsi="Times New Roman"/>
          <w:i/>
        </w:rPr>
        <w:t>impressions</w:t>
      </w:r>
      <w:r>
        <w:rPr>
          <w:rFonts w:ascii="Times New Roman" w:hAnsi="Times New Roman"/>
        </w:rPr>
        <w:t xml:space="preserve"> they make on surfaces, and that a latent </w:t>
      </w:r>
      <w:r w:rsidRPr="00680529">
        <w:rPr>
          <w:rFonts w:ascii="Times New Roman" w:hAnsi="Times New Roman"/>
          <w:i/>
        </w:rPr>
        <w:t>print</w:t>
      </w:r>
      <w:r>
        <w:rPr>
          <w:rFonts w:ascii="Times New Roman" w:hAnsi="Times New Roman"/>
        </w:rPr>
        <w:t xml:space="preserve"> and known </w:t>
      </w:r>
      <w:proofErr w:type="spellStart"/>
      <w:r>
        <w:rPr>
          <w:rFonts w:ascii="Times New Roman" w:hAnsi="Times New Roman"/>
        </w:rPr>
        <w:t>ink</w:t>
      </w:r>
      <w:proofErr w:type="spellEnd"/>
      <w:r>
        <w:rPr>
          <w:rFonts w:ascii="Times New Roman" w:hAnsi="Times New Roman"/>
        </w:rPr>
        <w:t xml:space="preserve"> </w:t>
      </w:r>
      <w:r w:rsidRPr="00680529">
        <w:rPr>
          <w:rFonts w:ascii="Times New Roman" w:hAnsi="Times New Roman"/>
          <w:i/>
        </w:rPr>
        <w:t>print</w:t>
      </w:r>
      <w:r>
        <w:rPr>
          <w:rFonts w:ascii="Times New Roman" w:hAnsi="Times New Roman"/>
        </w:rPr>
        <w:t xml:space="preserve"> may well have a lot of similarities but still be made by different </w:t>
      </w:r>
      <w:proofErr w:type="gramStart"/>
      <w:r>
        <w:rPr>
          <w:rFonts w:ascii="Times New Roman" w:hAnsi="Times New Roman"/>
        </w:rPr>
        <w:t>fingers</w:t>
      </w:r>
      <w:proofErr w:type="gramEnd"/>
      <w:r>
        <w:rPr>
          <w:rFonts w:ascii="Times New Roman" w:hAnsi="Times New Roman"/>
        </w:rPr>
        <w:t>:</w:t>
      </w:r>
    </w:p>
    <w:p w:rsidR="00222E0D" w:rsidRDefault="00222E0D" w:rsidP="00222E0D">
      <w:pPr>
        <w:ind w:left="720" w:right="720"/>
        <w:jc w:val="both"/>
        <w:rPr>
          <w:rFonts w:ascii="Times New Roman" w:hAnsi="Times New Roman"/>
        </w:rPr>
      </w:pPr>
      <w:r>
        <w:rPr>
          <w:rFonts w:ascii="Times New Roman" w:hAnsi="Times New Roman"/>
        </w:rPr>
        <w:t>Uniqueness and persistence are necessary conditions for friction ridge identification to be feasible, but those conditions do not imply that anyone can reliably discern whether or not two friction ridge impressions were made by the same person. Uniqueness does not guarantee that prints from two different people are always sufficient different that they cannot be confused, or that two impressions made by the same finger will also be sufficiently similar to be discerned as coming from the same source.</w:t>
      </w:r>
    </w:p>
    <w:p w:rsidR="00222E0D" w:rsidRDefault="00222E0D" w:rsidP="00222E0D">
      <w:pPr>
        <w:ind w:left="720" w:right="720"/>
        <w:jc w:val="both"/>
        <w:rPr>
          <w:rFonts w:ascii="Times New Roman" w:hAnsi="Times New Roman"/>
        </w:rPr>
      </w:pPr>
    </w:p>
    <w:p w:rsidR="00222E0D" w:rsidRDefault="00222E0D" w:rsidP="00222E0D">
      <w:pPr>
        <w:spacing w:line="480" w:lineRule="auto"/>
        <w:ind w:firstLine="720"/>
        <w:rPr>
          <w:rFonts w:ascii="Times New Roman" w:hAnsi="Times New Roman"/>
        </w:rPr>
      </w:pPr>
      <w:proofErr w:type="gramStart"/>
      <w:r>
        <w:rPr>
          <w:rFonts w:ascii="Times New Roman" w:hAnsi="Times New Roman"/>
        </w:rPr>
        <w:t>NAS Report (2009) at 144.</w:t>
      </w:r>
      <w:proofErr w:type="gramEnd"/>
      <w:r>
        <w:rPr>
          <w:rFonts w:ascii="Times New Roman" w:hAnsi="Times New Roman"/>
        </w:rPr>
        <w:t xml:space="preserve"> </w:t>
      </w:r>
      <w:r>
        <w:rPr>
          <w:rFonts w:ascii="Times New Roman" w:hAnsi="Times New Roman"/>
          <w:i/>
        </w:rPr>
        <w:t xml:space="preserve">See also </w:t>
      </w:r>
      <w:r>
        <w:rPr>
          <w:rFonts w:ascii="Times New Roman" w:hAnsi="Times New Roman"/>
        </w:rPr>
        <w:t>PCAST Report at 61 (“The issue is not whether objects or features differ; they surely do if one looks at a fine enough level. The issue is how well and under what circumstances examiners applying a given metrological method can reliably detect relevant differences in features to reliably identify whether they share a common source.”).</w:t>
      </w:r>
      <w:r>
        <w:rPr>
          <w:rStyle w:val="FootnoteReference"/>
          <w:rFonts w:ascii="Times New Roman" w:hAnsi="Times New Roman"/>
        </w:rPr>
        <w:footnoteReference w:id="2"/>
      </w:r>
    </w:p>
    <w:p w:rsidR="00C3363E" w:rsidRDefault="00C3363E" w:rsidP="00C3363E">
      <w:pPr>
        <w:spacing w:line="480" w:lineRule="auto"/>
        <w:ind w:firstLine="720"/>
        <w:rPr>
          <w:rFonts w:ascii="Times New Roman" w:hAnsi="Times New Roman"/>
        </w:rPr>
      </w:pPr>
      <w:r>
        <w:rPr>
          <w:rFonts w:ascii="Times New Roman" w:hAnsi="Times New Roman"/>
        </w:rPr>
        <w:t xml:space="preserve">A “black box” study of a forensic pattern-identification discipline is an empirical test of the ability of a </w:t>
      </w:r>
      <w:r w:rsidRPr="007C2DC5">
        <w:rPr>
          <w:rFonts w:ascii="Times New Roman" w:hAnsi="Times New Roman"/>
          <w:i/>
        </w:rPr>
        <w:t>subjective</w:t>
      </w:r>
      <w:r>
        <w:rPr>
          <w:rFonts w:ascii="Times New Roman" w:hAnsi="Times New Roman"/>
        </w:rPr>
        <w:t xml:space="preserve"> method – that is, a method that relies on the judgment and experience of the examiner, which is in essence the “black box” of the examiner’s head – to render accurate answers to the questions it purports to address. </w:t>
      </w:r>
      <w:proofErr w:type="gramStart"/>
      <w:r>
        <w:rPr>
          <w:rFonts w:ascii="Times New Roman" w:hAnsi="Times New Roman"/>
        </w:rPr>
        <w:t>PCAST Report at 49.</w:t>
      </w:r>
      <w:proofErr w:type="gramEnd"/>
      <w:r>
        <w:rPr>
          <w:rFonts w:ascii="Times New Roman" w:hAnsi="Times New Roman"/>
        </w:rPr>
        <w:t xml:space="preserve">  In short, black box studies </w:t>
      </w:r>
      <w:r>
        <w:rPr>
          <w:rFonts w:ascii="Times New Roman" w:hAnsi="Times New Roman"/>
        </w:rPr>
        <w:lastRenderedPageBreak/>
        <w:t xml:space="preserve">attempt to evaluate the accuracy and reliability of a method by having many examiners analyze unknown and known samples and make conclusions. These studies are used to determine error rates in the method. </w:t>
      </w:r>
      <w:r w:rsidRPr="00405912">
        <w:rPr>
          <w:rFonts w:ascii="Times New Roman" w:hAnsi="Times New Roman"/>
          <w:i/>
        </w:rPr>
        <w:t>See</w:t>
      </w:r>
      <w:r>
        <w:rPr>
          <w:rFonts w:ascii="Times New Roman" w:hAnsi="Times New Roman"/>
        </w:rPr>
        <w:t xml:space="preserve"> </w:t>
      </w:r>
      <w:r w:rsidRPr="00405912">
        <w:rPr>
          <w:rFonts w:ascii="Times New Roman" w:hAnsi="Times New Roman"/>
          <w:i/>
        </w:rPr>
        <w:t>id</w:t>
      </w:r>
      <w:r>
        <w:rPr>
          <w:rFonts w:ascii="Times New Roman" w:hAnsi="Times New Roman"/>
        </w:rPr>
        <w:t xml:space="preserve">. </w:t>
      </w:r>
      <w:proofErr w:type="gramStart"/>
      <w:r>
        <w:rPr>
          <w:rFonts w:ascii="Times New Roman" w:hAnsi="Times New Roman"/>
        </w:rPr>
        <w:t>at</w:t>
      </w:r>
      <w:proofErr w:type="gramEnd"/>
      <w:r>
        <w:rPr>
          <w:rFonts w:ascii="Times New Roman" w:hAnsi="Times New Roman"/>
        </w:rPr>
        <w:t xml:space="preserve"> 5-6, 48, 49. The rate at which examiners erroneously conclude that two prints have a common source when in fact they come from different sources is called the “false positive rate.” </w:t>
      </w:r>
    </w:p>
    <w:p w:rsidR="00AA6F52" w:rsidRDefault="00AA6F52" w:rsidP="00AA6F52">
      <w:pPr>
        <w:spacing w:line="480" w:lineRule="auto"/>
        <w:ind w:firstLine="720"/>
        <w:rPr>
          <w:rFonts w:ascii="Times New Roman" w:hAnsi="Times New Roman"/>
        </w:rPr>
      </w:pPr>
      <w:r>
        <w:rPr>
          <w:rFonts w:ascii="Times New Roman" w:hAnsi="Times New Roman"/>
        </w:rPr>
        <w:t xml:space="preserve">As the PCAST Report emphasized with respect to subjective methods of pattern-evidence comparison, “nothing—not training, personal experience nor professional practices—can substitute for adequate empirical demonstration of accuracy.” </w:t>
      </w:r>
      <w:proofErr w:type="gramStart"/>
      <w:r>
        <w:rPr>
          <w:rFonts w:ascii="Times New Roman" w:hAnsi="Times New Roman"/>
        </w:rPr>
        <w:t>PCAST Report at 46.</w:t>
      </w:r>
      <w:proofErr w:type="gramEnd"/>
      <w:r>
        <w:rPr>
          <w:rFonts w:ascii="Times New Roman" w:hAnsi="Times New Roman"/>
        </w:rPr>
        <w:t xml:space="preserve"> Because ACE-V remains a subjective, black box examination </w:t>
      </w:r>
      <w:proofErr w:type="gramStart"/>
      <w:r>
        <w:rPr>
          <w:rFonts w:ascii="Times New Roman" w:hAnsi="Times New Roman"/>
        </w:rPr>
        <w:t>process,</w:t>
      </w:r>
      <w:proofErr w:type="gramEnd"/>
      <w:r>
        <w:rPr>
          <w:rFonts w:ascii="Times New Roman" w:hAnsi="Times New Roman"/>
        </w:rPr>
        <w:t xml:space="preserve"> and because it is a process known to produce false positives, the </w:t>
      </w:r>
      <w:r w:rsidR="00C3363E">
        <w:rPr>
          <w:rFonts w:ascii="Times New Roman" w:hAnsi="Times New Roman"/>
        </w:rPr>
        <w:t>lack</w:t>
      </w:r>
      <w:r>
        <w:rPr>
          <w:rFonts w:ascii="Times New Roman" w:hAnsi="Times New Roman"/>
        </w:rPr>
        <w:t xml:space="preserve"> of appropriately designed empirical “black box” studies demonstrating the method’s accuracy renders it scientifically invalid as a means of justifying statements of source attribution in court. </w:t>
      </w:r>
    </w:p>
    <w:p w:rsidR="00AA6F52" w:rsidRPr="00D46E6E" w:rsidRDefault="00AA6F52" w:rsidP="00AA6F52">
      <w:pPr>
        <w:spacing w:line="480" w:lineRule="auto"/>
        <w:ind w:firstLine="720"/>
        <w:rPr>
          <w:rFonts w:ascii="Times New Roman" w:hAnsi="Times New Roman"/>
        </w:rPr>
      </w:pPr>
      <w:r>
        <w:rPr>
          <w:rFonts w:ascii="Times New Roman" w:hAnsi="Times New Roman"/>
        </w:rPr>
        <w:t>In the latent print field, “[r]</w:t>
      </w:r>
      <w:proofErr w:type="spellStart"/>
      <w:r>
        <w:rPr>
          <w:rFonts w:ascii="Times New Roman" w:hAnsi="Times New Roman"/>
        </w:rPr>
        <w:t>emarkably</w:t>
      </w:r>
      <w:proofErr w:type="spellEnd"/>
      <w:r>
        <w:rPr>
          <w:rFonts w:ascii="Times New Roman" w:hAnsi="Times New Roman"/>
        </w:rPr>
        <w:t xml:space="preserve">, there have been only two black-box studies that were intentionally and appropriately designed to assess validity and reliability.” </w:t>
      </w:r>
      <w:proofErr w:type="gramStart"/>
      <w:r>
        <w:rPr>
          <w:rFonts w:ascii="Times New Roman" w:hAnsi="Times New Roman"/>
        </w:rPr>
        <w:t>PCAST Report at 91.</w:t>
      </w:r>
      <w:proofErr w:type="gramEnd"/>
      <w:r>
        <w:rPr>
          <w:rFonts w:ascii="Times New Roman" w:hAnsi="Times New Roman"/>
        </w:rPr>
        <w:t xml:space="preserve"> </w:t>
      </w:r>
      <w:r w:rsidRPr="00B94365">
        <w:rPr>
          <w:rFonts w:ascii="Times New Roman" w:hAnsi="Times New Roman"/>
        </w:rPr>
        <w:t xml:space="preserve">The first study was </w:t>
      </w:r>
      <w:r>
        <w:rPr>
          <w:rFonts w:ascii="Times New Roman" w:hAnsi="Times New Roman"/>
        </w:rPr>
        <w:t xml:space="preserve">conducted by the FBI in 2011 in response to the NAS Report. </w:t>
      </w:r>
      <w:proofErr w:type="gramStart"/>
      <w:r>
        <w:rPr>
          <w:rFonts w:ascii="Times New Roman" w:hAnsi="Times New Roman"/>
          <w:i/>
        </w:rPr>
        <w:t>Id.</w:t>
      </w:r>
      <w:r>
        <w:rPr>
          <w:rFonts w:ascii="Times New Roman" w:hAnsi="Times New Roman"/>
        </w:rPr>
        <w:t xml:space="preserve"> at 94</w:t>
      </w:r>
      <w:r w:rsidRPr="00B94365">
        <w:rPr>
          <w:rFonts w:ascii="Times New Roman" w:hAnsi="Times New Roman"/>
        </w:rPr>
        <w:t>.</w:t>
      </w:r>
      <w:proofErr w:type="gramEnd"/>
      <w:r w:rsidRPr="00B94365">
        <w:rPr>
          <w:rFonts w:ascii="Times New Roman" w:hAnsi="Times New Roman"/>
        </w:rPr>
        <w:t xml:space="preserve"> The </w:t>
      </w:r>
      <w:r>
        <w:rPr>
          <w:rFonts w:ascii="Times New Roman" w:hAnsi="Times New Roman"/>
        </w:rPr>
        <w:t>study</w:t>
      </w:r>
      <w:r w:rsidRPr="00B94365">
        <w:rPr>
          <w:rFonts w:ascii="Times New Roman" w:hAnsi="Times New Roman"/>
        </w:rPr>
        <w:t xml:space="preserve"> consisted of 169 fingerprint examiners and 744 latent-known pairs, 520 “mated” pairs, known to be from the same source, and 224 “non-mated” pairs, known to be from two different sources. </w:t>
      </w:r>
      <w:r>
        <w:rPr>
          <w:rFonts w:ascii="Times New Roman" w:hAnsi="Times New Roman"/>
          <w:i/>
        </w:rPr>
        <w:t>Id</w:t>
      </w:r>
      <w:r w:rsidRPr="00B94365">
        <w:rPr>
          <w:rFonts w:ascii="Times New Roman" w:hAnsi="Times New Roman"/>
        </w:rPr>
        <w:t xml:space="preserve">. Each fingerprint examiner analyzed 100 pairs of prints and classified them as an identification, an exclusion, or inconclusive. </w:t>
      </w:r>
      <w:r>
        <w:rPr>
          <w:rFonts w:ascii="Times New Roman" w:hAnsi="Times New Roman"/>
          <w:i/>
        </w:rPr>
        <w:t>Id</w:t>
      </w:r>
      <w:r w:rsidRPr="00B94365">
        <w:rPr>
          <w:rFonts w:ascii="Times New Roman" w:hAnsi="Times New Roman"/>
        </w:rPr>
        <w:t xml:space="preserve">. </w:t>
      </w:r>
      <w:r>
        <w:rPr>
          <w:rFonts w:ascii="Times New Roman" w:hAnsi="Times New Roman"/>
        </w:rPr>
        <w:t xml:space="preserve">The </w:t>
      </w:r>
      <w:r w:rsidRPr="00B94365">
        <w:rPr>
          <w:rFonts w:ascii="Times New Roman" w:hAnsi="Times New Roman"/>
        </w:rPr>
        <w:t xml:space="preserve">study found six false positive identifications among 3628 non-mated pairs, resulting in a false positive rate </w:t>
      </w:r>
      <w:r>
        <w:rPr>
          <w:rFonts w:ascii="Times New Roman" w:hAnsi="Times New Roman"/>
        </w:rPr>
        <w:t xml:space="preserve">of </w:t>
      </w:r>
      <w:r w:rsidRPr="00B94365">
        <w:rPr>
          <w:rFonts w:ascii="Times New Roman" w:hAnsi="Times New Roman"/>
        </w:rPr>
        <w:t xml:space="preserve">“1 error in 604 cases, with the upper bound indicating that the rate could be as high as 1 error in 306 cases.” </w:t>
      </w:r>
      <w:proofErr w:type="gramStart"/>
      <w:r>
        <w:rPr>
          <w:rFonts w:ascii="Times New Roman" w:hAnsi="Times New Roman"/>
          <w:i/>
        </w:rPr>
        <w:t>Id</w:t>
      </w:r>
      <w:r w:rsidRPr="00B94365">
        <w:rPr>
          <w:rFonts w:ascii="Times New Roman" w:hAnsi="Times New Roman"/>
        </w:rPr>
        <w:t>.</w:t>
      </w:r>
      <w:r>
        <w:rPr>
          <w:rStyle w:val="FootnoteReference"/>
          <w:rFonts w:ascii="Times New Roman" w:hAnsi="Times New Roman"/>
        </w:rPr>
        <w:footnoteReference w:id="3"/>
      </w:r>
      <w:r w:rsidRPr="00B94365">
        <w:rPr>
          <w:rFonts w:ascii="Times New Roman" w:hAnsi="Times New Roman"/>
        </w:rPr>
        <w:t xml:space="preserve"> </w:t>
      </w:r>
      <w:r>
        <w:rPr>
          <w:rFonts w:ascii="Times New Roman" w:hAnsi="Times New Roman"/>
        </w:rPr>
        <w:t>The</w:t>
      </w:r>
      <w:proofErr w:type="gramEnd"/>
      <w:r>
        <w:rPr>
          <w:rFonts w:ascii="Times New Roman" w:hAnsi="Times New Roman"/>
        </w:rPr>
        <w:t xml:space="preserve"> PCAST </w:t>
      </w:r>
      <w:r>
        <w:rPr>
          <w:rFonts w:ascii="Times New Roman" w:hAnsi="Times New Roman"/>
        </w:rPr>
        <w:lastRenderedPageBreak/>
        <w:t xml:space="preserve">Report noted that the study, while appropriately designed, was conducted by authors with a vested interest in the admissibility of latent print examiner testimony. </w:t>
      </w:r>
      <w:proofErr w:type="gramStart"/>
      <w:r>
        <w:rPr>
          <w:rFonts w:ascii="Times New Roman" w:hAnsi="Times New Roman"/>
          <w:i/>
        </w:rPr>
        <w:t>Id.</w:t>
      </w:r>
      <w:r>
        <w:rPr>
          <w:rFonts w:ascii="Times New Roman" w:hAnsi="Times New Roman"/>
        </w:rPr>
        <w:t xml:space="preserve"> at 97.</w:t>
      </w:r>
      <w:proofErr w:type="gramEnd"/>
    </w:p>
    <w:p w:rsidR="00AA6F52" w:rsidRPr="00714C1A" w:rsidRDefault="00AA6F52" w:rsidP="00AA6F52">
      <w:pPr>
        <w:spacing w:line="480" w:lineRule="auto"/>
        <w:ind w:firstLine="720"/>
      </w:pPr>
      <w:r w:rsidRPr="00B94365">
        <w:rPr>
          <w:rFonts w:ascii="Times New Roman" w:hAnsi="Times New Roman"/>
        </w:rPr>
        <w:t xml:space="preserve">The second study was conducted by the Miami-Dade Police Department Forensic Services Bureau, with funding from the </w:t>
      </w:r>
      <w:r>
        <w:rPr>
          <w:rFonts w:ascii="Times New Roman" w:hAnsi="Times New Roman"/>
        </w:rPr>
        <w:t>National Institute of Justice</w:t>
      </w:r>
      <w:r w:rsidRPr="00B94365">
        <w:rPr>
          <w:rFonts w:ascii="Times New Roman" w:hAnsi="Times New Roman"/>
        </w:rPr>
        <w:t xml:space="preserve">. </w:t>
      </w:r>
      <w:proofErr w:type="gramStart"/>
      <w:r>
        <w:rPr>
          <w:rFonts w:ascii="Times New Roman" w:hAnsi="Times New Roman"/>
          <w:i/>
        </w:rPr>
        <w:t>Id.</w:t>
      </w:r>
      <w:r>
        <w:rPr>
          <w:rFonts w:ascii="Times New Roman" w:hAnsi="Times New Roman"/>
        </w:rPr>
        <w:t xml:space="preserve"> at 94</w:t>
      </w:r>
      <w:r w:rsidRPr="00B94365">
        <w:rPr>
          <w:rFonts w:ascii="Times New Roman" w:hAnsi="Times New Roman"/>
        </w:rPr>
        <w:t>.</w:t>
      </w:r>
      <w:proofErr w:type="gramEnd"/>
      <w:r w:rsidRPr="00B94365">
        <w:rPr>
          <w:rFonts w:ascii="Times New Roman" w:hAnsi="Times New Roman"/>
        </w:rPr>
        <w:t xml:space="preserve"> While the study has concluded and the results were posted on the internet, </w:t>
      </w:r>
      <w:r>
        <w:rPr>
          <w:rFonts w:ascii="Times New Roman" w:hAnsi="Times New Roman"/>
        </w:rPr>
        <w:t>it has</w:t>
      </w:r>
      <w:r w:rsidRPr="00B94365">
        <w:rPr>
          <w:rFonts w:ascii="Times New Roman" w:hAnsi="Times New Roman"/>
        </w:rPr>
        <w:t xml:space="preserve"> yet to be published in a peer-reviewed scientific journal. </w:t>
      </w:r>
      <w:r>
        <w:rPr>
          <w:rFonts w:ascii="Times New Roman" w:hAnsi="Times New Roman"/>
          <w:i/>
        </w:rPr>
        <w:t xml:space="preserve">Id </w:t>
      </w:r>
      <w:r>
        <w:rPr>
          <w:rFonts w:ascii="Times New Roman" w:hAnsi="Times New Roman"/>
        </w:rPr>
        <w:t>at 94-95</w:t>
      </w:r>
      <w:r w:rsidRPr="00B94365">
        <w:rPr>
          <w:rFonts w:ascii="Times New Roman" w:hAnsi="Times New Roman"/>
        </w:rPr>
        <w:t xml:space="preserve">. </w:t>
      </w:r>
      <w:r>
        <w:rPr>
          <w:rFonts w:ascii="Times New Roman" w:hAnsi="Times New Roman"/>
        </w:rPr>
        <w:t xml:space="preserve">The study also did not select known-latent print pairs to be similar to each other, “which should, in principle, have made it </w:t>
      </w:r>
      <w:r>
        <w:rPr>
          <w:rFonts w:ascii="Times New Roman" w:hAnsi="Times New Roman"/>
          <w:i/>
        </w:rPr>
        <w:t xml:space="preserve">easier to declare exclusions </w:t>
      </w:r>
      <w:r>
        <w:rPr>
          <w:rFonts w:ascii="Times New Roman" w:hAnsi="Times New Roman"/>
        </w:rPr>
        <w:t xml:space="preserve">for the non-mated pairs.” </w:t>
      </w:r>
      <w:proofErr w:type="gramStart"/>
      <w:r>
        <w:rPr>
          <w:rFonts w:ascii="Times New Roman" w:hAnsi="Times New Roman"/>
          <w:i/>
        </w:rPr>
        <w:t xml:space="preserve">Id </w:t>
      </w:r>
      <w:r>
        <w:rPr>
          <w:rFonts w:ascii="Times New Roman" w:hAnsi="Times New Roman"/>
        </w:rPr>
        <w:t>at 95.</w:t>
      </w:r>
      <w:proofErr w:type="gramEnd"/>
      <w:r>
        <w:rPr>
          <w:rFonts w:ascii="Times New Roman" w:hAnsi="Times New Roman"/>
        </w:rPr>
        <w:t xml:space="preserve"> (</w:t>
      </w:r>
      <w:proofErr w:type="gramStart"/>
      <w:r>
        <w:rPr>
          <w:rFonts w:ascii="Times New Roman" w:hAnsi="Times New Roman"/>
        </w:rPr>
        <w:t>emphasis</w:t>
      </w:r>
      <w:proofErr w:type="gramEnd"/>
      <w:r>
        <w:rPr>
          <w:rFonts w:ascii="Times New Roman" w:hAnsi="Times New Roman"/>
        </w:rPr>
        <w:t xml:space="preserve"> added). Even so, the</w:t>
      </w:r>
      <w:r w:rsidRPr="00B94365">
        <w:rPr>
          <w:rFonts w:ascii="Times New Roman" w:hAnsi="Times New Roman"/>
        </w:rPr>
        <w:t xml:space="preserve"> study </w:t>
      </w:r>
      <w:r>
        <w:rPr>
          <w:rFonts w:ascii="Times New Roman" w:hAnsi="Times New Roman"/>
        </w:rPr>
        <w:t xml:space="preserve">still </w:t>
      </w:r>
      <w:r w:rsidRPr="00B94365">
        <w:rPr>
          <w:rFonts w:ascii="Times New Roman" w:hAnsi="Times New Roman"/>
        </w:rPr>
        <w:t xml:space="preserve">found 42 false positives among 995 conclusive examinations, </w:t>
      </w:r>
      <w:r w:rsidRPr="00282E9D">
        <w:rPr>
          <w:rFonts w:ascii="Times New Roman" w:hAnsi="Times New Roman"/>
        </w:rPr>
        <w:t>for a</w:t>
      </w:r>
      <w:r>
        <w:rPr>
          <w:rFonts w:ascii="Times New Roman" w:hAnsi="Times New Roman"/>
        </w:rPr>
        <w:t>n upper-bound</w:t>
      </w:r>
      <w:r w:rsidRPr="00282E9D">
        <w:rPr>
          <w:rFonts w:ascii="Times New Roman" w:hAnsi="Times New Roman"/>
        </w:rPr>
        <w:t xml:space="preserve"> false positive rate of </w:t>
      </w:r>
      <w:r>
        <w:rPr>
          <w:rFonts w:ascii="Times New Roman" w:hAnsi="Times New Roman"/>
        </w:rPr>
        <w:t>5.4%, or 1 in 18</w:t>
      </w:r>
      <w:r w:rsidRPr="00282E9D">
        <w:rPr>
          <w:rFonts w:ascii="Times New Roman" w:hAnsi="Times New Roman"/>
        </w:rPr>
        <w:t xml:space="preserve">. </w:t>
      </w:r>
      <w:r>
        <w:rPr>
          <w:rFonts w:ascii="Times New Roman" w:hAnsi="Times New Roman"/>
          <w:i/>
        </w:rPr>
        <w:t>Id</w:t>
      </w:r>
      <w:r w:rsidRPr="00282E9D">
        <w:rPr>
          <w:rFonts w:ascii="Times New Roman" w:hAnsi="Times New Roman"/>
        </w:rPr>
        <w:t xml:space="preserve">. </w:t>
      </w:r>
    </w:p>
    <w:p w:rsidR="00AA6F52" w:rsidRPr="0043731D" w:rsidRDefault="00AA6F52" w:rsidP="00AA6F52">
      <w:pPr>
        <w:spacing w:line="480" w:lineRule="auto"/>
        <w:ind w:firstLine="720"/>
        <w:rPr>
          <w:rFonts w:ascii="Times New Roman" w:hAnsi="Times New Roman"/>
        </w:rPr>
      </w:pPr>
      <w:r>
        <w:rPr>
          <w:rFonts w:ascii="Times New Roman" w:hAnsi="Times New Roman"/>
        </w:rPr>
        <w:t xml:space="preserve">Viewing these studies together, PCAST remarked that “[t]he empirically estimated false positive rates are </w:t>
      </w:r>
      <w:r>
        <w:rPr>
          <w:rFonts w:ascii="Times New Roman" w:hAnsi="Times New Roman"/>
          <w:i/>
        </w:rPr>
        <w:t>much higher</w:t>
      </w:r>
      <w:r>
        <w:rPr>
          <w:rFonts w:ascii="Times New Roman" w:hAnsi="Times New Roman"/>
        </w:rPr>
        <w:t xml:space="preserve"> than the general public (and, by extension, most jurors) would likely believe based on longstanding claims about the accuracy of fingerprint analysis.” </w:t>
      </w:r>
      <w:proofErr w:type="gramStart"/>
      <w:r>
        <w:rPr>
          <w:rFonts w:ascii="Times New Roman" w:hAnsi="Times New Roman"/>
          <w:i/>
        </w:rPr>
        <w:t>Id.</w:t>
      </w:r>
      <w:r w:rsidRPr="00D46E6E">
        <w:rPr>
          <w:rFonts w:ascii="Times New Roman" w:hAnsi="Times New Roman"/>
        </w:rPr>
        <w:t xml:space="preserve"> </w:t>
      </w:r>
      <w:r>
        <w:rPr>
          <w:rFonts w:ascii="Times New Roman" w:hAnsi="Times New Roman"/>
        </w:rPr>
        <w:t>(emphasis in original).</w:t>
      </w:r>
      <w:proofErr w:type="gramEnd"/>
      <w:r>
        <w:rPr>
          <w:rFonts w:ascii="Times New Roman" w:hAnsi="Times New Roman"/>
        </w:rPr>
        <w:t xml:space="preserve"> </w:t>
      </w:r>
    </w:p>
    <w:p w:rsidR="00C3363E" w:rsidRDefault="00205701" w:rsidP="00205701">
      <w:pPr>
        <w:spacing w:line="480" w:lineRule="auto"/>
        <w:ind w:firstLine="720"/>
        <w:rPr>
          <w:rFonts w:ascii="Times New Roman" w:hAnsi="Times New Roman"/>
        </w:rPr>
      </w:pPr>
      <w:r>
        <w:rPr>
          <w:rFonts w:ascii="Times New Roman" w:hAnsi="Times New Roman"/>
        </w:rPr>
        <w:t>Overall, the PCAST report found that latent fingerprint analysis was a foundationally valid subjective methodology “based largely” on the two studies mentioned above</w:t>
      </w:r>
      <w:r w:rsidR="009105DD">
        <w:rPr>
          <w:rFonts w:ascii="Times New Roman" w:hAnsi="Times New Roman"/>
        </w:rPr>
        <w:t>, but noted that the “false positive rate… is substantial</w:t>
      </w:r>
      <w:r>
        <w:rPr>
          <w:rFonts w:ascii="Times New Roman" w:hAnsi="Times New Roman"/>
        </w:rPr>
        <w:t>.</w:t>
      </w:r>
      <w:r w:rsidR="009105DD">
        <w:rPr>
          <w:rFonts w:ascii="Times New Roman" w:hAnsi="Times New Roman"/>
        </w:rPr>
        <w:t>”</w:t>
      </w:r>
      <w:r>
        <w:rPr>
          <w:rFonts w:ascii="Times New Roman" w:hAnsi="Times New Roman"/>
        </w:rPr>
        <w:t xml:space="preserve">  </w:t>
      </w:r>
      <w:proofErr w:type="gramStart"/>
      <w:r>
        <w:rPr>
          <w:rFonts w:ascii="Times New Roman" w:hAnsi="Times New Roman"/>
          <w:i/>
        </w:rPr>
        <w:t>Id</w:t>
      </w:r>
      <w:r>
        <w:rPr>
          <w:rFonts w:ascii="Times New Roman" w:hAnsi="Times New Roman"/>
        </w:rPr>
        <w:t>. at 101.</w:t>
      </w:r>
      <w:proofErr w:type="gramEnd"/>
      <w:r>
        <w:rPr>
          <w:rFonts w:ascii="Times New Roman" w:hAnsi="Times New Roman"/>
        </w:rPr>
        <w:t xml:space="preserve">  They concluded from the studies that “many examiners can, under </w:t>
      </w:r>
      <w:r>
        <w:rPr>
          <w:rFonts w:ascii="Times New Roman" w:hAnsi="Times New Roman"/>
          <w:i/>
        </w:rPr>
        <w:t>some</w:t>
      </w:r>
      <w:r>
        <w:rPr>
          <w:rFonts w:ascii="Times New Roman" w:hAnsi="Times New Roman"/>
        </w:rPr>
        <w:t xml:space="preserve"> circumstances</w:t>
      </w:r>
      <w:r>
        <w:rPr>
          <w:rFonts w:ascii="Times New Roman" w:hAnsi="Times New Roman"/>
          <w:i/>
        </w:rPr>
        <w:t>,</w:t>
      </w:r>
      <w:r>
        <w:rPr>
          <w:rFonts w:ascii="Times New Roman" w:hAnsi="Times New Roman"/>
        </w:rPr>
        <w:t xml:space="preserve"> produce correct answers at </w:t>
      </w:r>
      <w:r>
        <w:rPr>
          <w:rFonts w:ascii="Times New Roman" w:hAnsi="Times New Roman"/>
          <w:i/>
        </w:rPr>
        <w:t xml:space="preserve">some </w:t>
      </w:r>
      <w:r>
        <w:rPr>
          <w:rFonts w:ascii="Times New Roman" w:hAnsi="Times New Roman"/>
        </w:rPr>
        <w:t xml:space="preserve">level of accuracy,” that the “empirically estimated false positive rates are </w:t>
      </w:r>
      <w:r>
        <w:rPr>
          <w:rFonts w:ascii="Times New Roman" w:hAnsi="Times New Roman"/>
          <w:i/>
        </w:rPr>
        <w:t>much higher</w:t>
      </w:r>
      <w:r>
        <w:rPr>
          <w:rFonts w:ascii="Times New Roman" w:hAnsi="Times New Roman"/>
        </w:rPr>
        <w:t xml:space="preserve"> than the general public (and by extension most jurors) would likely believe based on longstanding claims about the accuracy of fingerprint analysis” and that the two studies yielded false positive rates of 1 in 306 in one study, and as high as 1 in 18 in another study. </w:t>
      </w:r>
      <w:proofErr w:type="gramStart"/>
      <w:r>
        <w:rPr>
          <w:rFonts w:ascii="Times New Roman" w:hAnsi="Times New Roman"/>
          <w:i/>
        </w:rPr>
        <w:t>Id</w:t>
      </w:r>
      <w:r>
        <w:rPr>
          <w:rFonts w:ascii="Times New Roman" w:hAnsi="Times New Roman"/>
        </w:rPr>
        <w:t>. at 94-5 (emphasis in original).</w:t>
      </w:r>
      <w:proofErr w:type="gramEnd"/>
      <w:r>
        <w:rPr>
          <w:rFonts w:ascii="Times New Roman" w:hAnsi="Times New Roman"/>
        </w:rPr>
        <w:t xml:space="preserve">  Even though the PCAST Report draws the overall conclusion on the foundationally validity of latent fingerprint </w:t>
      </w:r>
      <w:r>
        <w:rPr>
          <w:rFonts w:ascii="Times New Roman" w:hAnsi="Times New Roman"/>
        </w:rPr>
        <w:lastRenderedPageBreak/>
        <w:t>analysis based on these two studies, the statement that “many” (not all) examiners can under “some” circumstances produces correct answers at “some” level of accuracy</w:t>
      </w:r>
      <w:r w:rsidR="009105DD">
        <w:rPr>
          <w:rFonts w:ascii="Times New Roman" w:hAnsi="Times New Roman"/>
        </w:rPr>
        <w:t>, combined with the “substantial” false positive rate,</w:t>
      </w:r>
      <w:r>
        <w:rPr>
          <w:rFonts w:ascii="Times New Roman" w:hAnsi="Times New Roman"/>
        </w:rPr>
        <w:t xml:space="preserve"> is not the type of confidence that should muster admission of testimony in a criminal trial where the punishment is life without the possibility of parole.  </w:t>
      </w:r>
    </w:p>
    <w:p w:rsidR="00E86A39" w:rsidRPr="00877D4D" w:rsidRDefault="00E86A39" w:rsidP="00205701">
      <w:pPr>
        <w:spacing w:line="480" w:lineRule="auto"/>
        <w:ind w:firstLine="720"/>
      </w:pPr>
      <w:r>
        <w:rPr>
          <w:rFonts w:ascii="Times New Roman" w:hAnsi="Times New Roman"/>
        </w:rPr>
        <w:t xml:space="preserve">To be sure, fingerprint analysis has been admitted by </w:t>
      </w:r>
      <w:r w:rsidR="00F45E4C">
        <w:rPr>
          <w:rFonts w:ascii="Times New Roman" w:hAnsi="Times New Roman"/>
        </w:rPr>
        <w:t xml:space="preserve">North Carolina courts. </w:t>
      </w:r>
      <w:r w:rsidR="00F45E4C">
        <w:rPr>
          <w:rFonts w:ascii="Times New Roman" w:hAnsi="Times New Roman"/>
          <w:i/>
        </w:rPr>
        <w:t xml:space="preserve">State v. </w:t>
      </w:r>
      <w:proofErr w:type="spellStart"/>
      <w:r w:rsidR="00F45E4C">
        <w:rPr>
          <w:rFonts w:ascii="Times New Roman" w:hAnsi="Times New Roman"/>
          <w:i/>
        </w:rPr>
        <w:t>Irick</w:t>
      </w:r>
      <w:proofErr w:type="spellEnd"/>
      <w:proofErr w:type="gramStart"/>
      <w:r w:rsidR="00F45E4C">
        <w:rPr>
          <w:rFonts w:ascii="Times New Roman" w:hAnsi="Times New Roman"/>
          <w:i/>
        </w:rPr>
        <w:t xml:space="preserve">, </w:t>
      </w:r>
      <w:r w:rsidR="00F45E4C">
        <w:rPr>
          <w:rFonts w:ascii="Times New Roman" w:hAnsi="Times New Roman"/>
        </w:rPr>
        <w:t xml:space="preserve"> 291</w:t>
      </w:r>
      <w:proofErr w:type="gramEnd"/>
      <w:r w:rsidR="00F45E4C">
        <w:rPr>
          <w:rFonts w:ascii="Times New Roman" w:hAnsi="Times New Roman"/>
        </w:rPr>
        <w:t xml:space="preserve"> N.C. 480 – 488-89 (1977); </w:t>
      </w:r>
      <w:r w:rsidR="00F45E4C">
        <w:rPr>
          <w:rFonts w:ascii="Times New Roman" w:hAnsi="Times New Roman"/>
          <w:i/>
        </w:rPr>
        <w:t xml:space="preserve">see also State v. Hoff, </w:t>
      </w:r>
      <w:r w:rsidR="00F45E4C">
        <w:rPr>
          <w:rFonts w:ascii="Times New Roman" w:hAnsi="Times New Roman"/>
        </w:rPr>
        <w:t xml:space="preserve">224 N.C. App. 155, 163 (2012); </w:t>
      </w:r>
      <w:r w:rsidR="00F45E4C">
        <w:rPr>
          <w:rFonts w:ascii="Times New Roman" w:hAnsi="Times New Roman"/>
          <w:i/>
        </w:rPr>
        <w:t xml:space="preserve">State v. Parks, </w:t>
      </w:r>
      <w:r w:rsidR="00F45E4C" w:rsidRPr="00F45E4C">
        <w:rPr>
          <w:rFonts w:ascii="Times New Roman" w:hAnsi="Times New Roman"/>
        </w:rPr>
        <w:t>147 N.C. App. 485, 490-91 (2001).</w:t>
      </w:r>
      <w:r w:rsidR="00F45E4C">
        <w:rPr>
          <w:rFonts w:ascii="Times New Roman" w:hAnsi="Times New Roman"/>
          <w:i/>
        </w:rPr>
        <w:t xml:space="preserve"> </w:t>
      </w:r>
      <w:r w:rsidRPr="00F45E4C">
        <w:rPr>
          <w:rFonts w:ascii="Times New Roman" w:hAnsi="Times New Roman"/>
        </w:rPr>
        <w:t>However</w:t>
      </w:r>
      <w:r>
        <w:rPr>
          <w:rFonts w:ascii="Times New Roman" w:hAnsi="Times New Roman"/>
        </w:rPr>
        <w:t>, there have not been any</w:t>
      </w:r>
      <w:r w:rsidR="00F45E4C">
        <w:rPr>
          <w:rFonts w:ascii="Times New Roman" w:hAnsi="Times New Roman"/>
        </w:rPr>
        <w:t xml:space="preserve"> published North Carolina</w:t>
      </w:r>
      <w:r>
        <w:rPr>
          <w:rFonts w:ascii="Times New Roman" w:hAnsi="Times New Roman"/>
        </w:rPr>
        <w:t xml:space="preserve"> fingerprint cases examined under the new </w:t>
      </w:r>
      <w:r w:rsidR="008051D1">
        <w:rPr>
          <w:rFonts w:ascii="Times New Roman" w:hAnsi="Times New Roman"/>
        </w:rPr>
        <w:t xml:space="preserve">more stringent </w:t>
      </w:r>
      <w:proofErr w:type="spellStart"/>
      <w:r w:rsidR="008051D1">
        <w:rPr>
          <w:rFonts w:ascii="Times New Roman" w:hAnsi="Times New Roman"/>
          <w:i/>
        </w:rPr>
        <w:t>Daubert</w:t>
      </w:r>
      <w:proofErr w:type="spellEnd"/>
      <w:r w:rsidR="008051D1">
        <w:rPr>
          <w:rFonts w:ascii="Times New Roman" w:hAnsi="Times New Roman"/>
        </w:rPr>
        <w:t xml:space="preserve"> standards.  “Cases applying the more lenient pre-</w:t>
      </w:r>
      <w:proofErr w:type="spellStart"/>
      <w:r w:rsidR="008051D1">
        <w:rPr>
          <w:rFonts w:ascii="Times New Roman" w:hAnsi="Times New Roman"/>
          <w:i/>
        </w:rPr>
        <w:t>Daubert</w:t>
      </w:r>
      <w:proofErr w:type="spellEnd"/>
      <w:r w:rsidR="008051D1">
        <w:rPr>
          <w:rFonts w:ascii="Times New Roman" w:hAnsi="Times New Roman"/>
        </w:rPr>
        <w:t xml:space="preserve"> standard to the reliability prong to hold that evidence is admissible may not be consistent with a result that obtains under the stricter</w:t>
      </w:r>
      <w:r w:rsidR="008051D1">
        <w:rPr>
          <w:rFonts w:ascii="Times New Roman" w:hAnsi="Times New Roman"/>
          <w:i/>
        </w:rPr>
        <w:t xml:space="preserve"> </w:t>
      </w:r>
      <w:proofErr w:type="spellStart"/>
      <w:r w:rsidR="008051D1" w:rsidRPr="008051D1">
        <w:rPr>
          <w:rFonts w:ascii="Times New Roman" w:hAnsi="Times New Roman"/>
          <w:i/>
        </w:rPr>
        <w:t>Daubert</w:t>
      </w:r>
      <w:proofErr w:type="spellEnd"/>
      <w:r w:rsidR="008051D1">
        <w:rPr>
          <w:rFonts w:ascii="Times New Roman" w:hAnsi="Times New Roman"/>
          <w:i/>
        </w:rPr>
        <w:t xml:space="preserve"> </w:t>
      </w:r>
      <w:r w:rsidR="008051D1" w:rsidRPr="008051D1">
        <w:rPr>
          <w:rFonts w:ascii="Times New Roman" w:hAnsi="Times New Roman"/>
        </w:rPr>
        <w:t>test, and perhaps should be viewed with some skepticism</w:t>
      </w:r>
      <w:r w:rsidR="008051D1">
        <w:rPr>
          <w:rFonts w:ascii="Times New Roman" w:hAnsi="Times New Roman"/>
        </w:rPr>
        <w:t xml:space="preserve">.” </w:t>
      </w:r>
      <w:r w:rsidR="00877D4D">
        <w:rPr>
          <w:rFonts w:ascii="Times New Roman" w:hAnsi="Times New Roman"/>
        </w:rPr>
        <w:t xml:space="preserve">Jessica Smith, </w:t>
      </w:r>
      <w:r w:rsidR="00877D4D" w:rsidRPr="00877D4D">
        <w:rPr>
          <w:rFonts w:ascii="Times New Roman" w:hAnsi="Times New Roman"/>
          <w:smallCaps/>
        </w:rPr>
        <w:t>NC SUPERIOR COURT JUDGES’ BENCHBOOK</w:t>
      </w:r>
      <w:r w:rsidR="00877D4D">
        <w:rPr>
          <w:rFonts w:ascii="Times New Roman" w:hAnsi="Times New Roman"/>
          <w:i/>
        </w:rPr>
        <w:t xml:space="preserve">, </w:t>
      </w:r>
      <w:r w:rsidR="00877D4D">
        <w:rPr>
          <w:rFonts w:ascii="Times New Roman" w:hAnsi="Times New Roman"/>
        </w:rPr>
        <w:t xml:space="preserve">UNC School of Government, “Criminal Evidence: Expert Testimony,” p. 11 (August 2017). </w:t>
      </w:r>
    </w:p>
    <w:p w:rsidR="00C3363E" w:rsidRPr="009105DD" w:rsidRDefault="00205701" w:rsidP="00C3363E">
      <w:pPr>
        <w:pStyle w:val="ListParagraph"/>
        <w:numPr>
          <w:ilvl w:val="0"/>
          <w:numId w:val="4"/>
        </w:numPr>
        <w:spacing w:line="480" w:lineRule="auto"/>
        <w:rPr>
          <w:rFonts w:ascii="Times New Roman" w:hAnsi="Times New Roman"/>
        </w:rPr>
      </w:pPr>
      <w:r>
        <w:rPr>
          <w:rFonts w:ascii="Times New Roman" w:hAnsi="Times New Roman"/>
          <w:b/>
        </w:rPr>
        <w:t xml:space="preserve">Ms. Waller’s testimony is not valid as applied. </w:t>
      </w:r>
    </w:p>
    <w:p w:rsidR="00430392" w:rsidRDefault="00430392" w:rsidP="009105DD">
      <w:pPr>
        <w:spacing w:line="480" w:lineRule="auto"/>
        <w:ind w:firstLine="720"/>
        <w:rPr>
          <w:rFonts w:ascii="Times New Roman" w:hAnsi="Times New Roman"/>
        </w:rPr>
      </w:pPr>
      <w:r w:rsidRPr="00430392">
        <w:rPr>
          <w:rFonts w:ascii="Times New Roman" w:hAnsi="Times New Roman"/>
        </w:rPr>
        <w:t xml:space="preserve">Even if ACE-V were somehow a foundationally valid method in principle, the </w:t>
      </w:r>
      <w:r w:rsidR="00F41E91">
        <w:rPr>
          <w:rFonts w:ascii="Times New Roman" w:hAnsi="Times New Roman"/>
        </w:rPr>
        <w:t>state</w:t>
      </w:r>
      <w:r w:rsidRPr="00430392">
        <w:rPr>
          <w:rFonts w:ascii="Times New Roman" w:hAnsi="Times New Roman"/>
        </w:rPr>
        <w:t xml:space="preserve"> would be </w:t>
      </w:r>
      <w:r w:rsidR="009105DD">
        <w:rPr>
          <w:rFonts w:ascii="Times New Roman" w:hAnsi="Times New Roman"/>
        </w:rPr>
        <w:t xml:space="preserve">unable to meet its burden to demonstrate </w:t>
      </w:r>
      <w:r w:rsidRPr="00430392">
        <w:rPr>
          <w:rFonts w:ascii="Times New Roman" w:hAnsi="Times New Roman"/>
        </w:rPr>
        <w:t>that ACE-V is reliable as applied by this examiner in this case – that is, that the examiner is capable of reliably applying the method, that the examiner did actually reliably apply the method, and that the examiner’s particular assertions are scientifically valid. T</w:t>
      </w:r>
      <w:r w:rsidR="009C63E4">
        <w:rPr>
          <w:rFonts w:ascii="Times New Roman" w:hAnsi="Times New Roman"/>
        </w:rPr>
        <w:t>he PCAST Report indicated that</w:t>
      </w:r>
    </w:p>
    <w:p w:rsidR="009C63E4" w:rsidRPr="009C63E4" w:rsidRDefault="009C63E4" w:rsidP="009C63E4">
      <w:pPr>
        <w:pStyle w:val="Default"/>
        <w:ind w:left="720" w:right="720"/>
        <w:jc w:val="both"/>
        <w:rPr>
          <w:rFonts w:ascii="Times New Roman" w:hAnsi="Times New Roman" w:cs="Times New Roman"/>
          <w:szCs w:val="22"/>
        </w:rPr>
      </w:pPr>
      <w:r w:rsidRPr="009C63E4">
        <w:rPr>
          <w:rFonts w:ascii="Times New Roman" w:hAnsi="Times New Roman" w:cs="Times New Roman"/>
          <w:szCs w:val="22"/>
        </w:rPr>
        <w:t xml:space="preserve">“From a scientific standpoint, validity as applied requires that an expert: (1) has undergone appropriate proficiency testing to ensure that he or she is capable of analyzing the full range of latent fingerprints encountered in casework and reports the results of the proficiency testing; (2) discloses whether he or she documented the features in the latent print in writing before comparing it to the known print; (3) provides a written analysis explaining the selection and comparison of the features; (4) discloses whether, when performing the examination, he or she was aware of any other facts of the case that might influence the conclusion; and (5) </w:t>
      </w:r>
      <w:r w:rsidRPr="009C63E4">
        <w:rPr>
          <w:rFonts w:ascii="Times New Roman" w:hAnsi="Times New Roman" w:cs="Times New Roman"/>
          <w:szCs w:val="22"/>
        </w:rPr>
        <w:lastRenderedPageBreak/>
        <w:t xml:space="preserve">verifies that the latent print in the case at hand is similar in quality to the range of latent prints considered in the foundational studies.” </w:t>
      </w:r>
    </w:p>
    <w:p w:rsidR="009C63E4" w:rsidRDefault="009C63E4" w:rsidP="009105DD">
      <w:pPr>
        <w:spacing w:line="480" w:lineRule="auto"/>
        <w:ind w:firstLine="720"/>
        <w:rPr>
          <w:rFonts w:ascii="Times New Roman" w:hAnsi="Times New Roman"/>
        </w:rPr>
      </w:pPr>
    </w:p>
    <w:p w:rsidR="009C63E4" w:rsidRPr="00430392" w:rsidRDefault="009C63E4" w:rsidP="009105DD">
      <w:pPr>
        <w:spacing w:line="480" w:lineRule="auto"/>
        <w:ind w:firstLine="720"/>
        <w:rPr>
          <w:rFonts w:ascii="Times New Roman" w:hAnsi="Times New Roman"/>
        </w:rPr>
      </w:pPr>
      <w:proofErr w:type="gramStart"/>
      <w:r>
        <w:rPr>
          <w:rFonts w:ascii="Times New Roman" w:hAnsi="Times New Roman"/>
        </w:rPr>
        <w:t>PCAST Report at 102.</w:t>
      </w:r>
      <w:proofErr w:type="gramEnd"/>
      <w:r>
        <w:rPr>
          <w:rFonts w:ascii="Times New Roman" w:hAnsi="Times New Roman"/>
        </w:rPr>
        <w:t xml:space="preserve"> </w:t>
      </w:r>
    </w:p>
    <w:p w:rsidR="009C63E4" w:rsidRDefault="00430392" w:rsidP="009C63E4">
      <w:pPr>
        <w:spacing w:line="480" w:lineRule="auto"/>
        <w:ind w:firstLine="720"/>
        <w:rPr>
          <w:rFonts w:ascii="Times New Roman" w:hAnsi="Times New Roman"/>
          <w:b/>
        </w:rPr>
      </w:pPr>
      <w:r w:rsidRPr="00430392">
        <w:rPr>
          <w:rFonts w:ascii="Times New Roman" w:hAnsi="Times New Roman"/>
        </w:rPr>
        <w:t xml:space="preserve">First, given the subjectivity associated with latent fingerprint analysis, the PCAST Report concluded that it is “scientifically unjustified” to find that an examiner is capable of a reliable analysis unless he has completed “regular and rigorous proficiency testing.” </w:t>
      </w:r>
      <w:proofErr w:type="gramStart"/>
      <w:r w:rsidR="009C63E4">
        <w:rPr>
          <w:rFonts w:ascii="Times New Roman" w:hAnsi="Times New Roman"/>
          <w:i/>
        </w:rPr>
        <w:t>Id</w:t>
      </w:r>
      <w:r w:rsidR="009C63E4">
        <w:rPr>
          <w:rFonts w:ascii="Times New Roman" w:hAnsi="Times New Roman"/>
        </w:rPr>
        <w:t>.</w:t>
      </w:r>
      <w:r w:rsidRPr="00430392">
        <w:rPr>
          <w:rFonts w:ascii="Times New Roman" w:hAnsi="Times New Roman"/>
          <w:i/>
        </w:rPr>
        <w:t xml:space="preserve"> </w:t>
      </w:r>
      <w:r w:rsidRPr="00430392">
        <w:rPr>
          <w:rFonts w:ascii="Times New Roman" w:hAnsi="Times New Roman"/>
        </w:rPr>
        <w:t>at 101.</w:t>
      </w:r>
      <w:proofErr w:type="gramEnd"/>
      <w:r>
        <w:rPr>
          <w:rStyle w:val="FootnoteReference"/>
          <w:rFonts w:ascii="Times New Roman" w:hAnsi="Times New Roman"/>
        </w:rPr>
        <w:footnoteReference w:id="4"/>
      </w:r>
      <w:r w:rsidRPr="00430392">
        <w:rPr>
          <w:rFonts w:ascii="Times New Roman" w:hAnsi="Times New Roman"/>
        </w:rPr>
        <w:t xml:space="preserve"> </w:t>
      </w:r>
      <w:r w:rsidR="009105DD">
        <w:rPr>
          <w:rFonts w:ascii="Times New Roman" w:hAnsi="Times New Roman"/>
        </w:rPr>
        <w:t xml:space="preserve">As discussed above, the proficiency testing of Ms. Waller is unknown at this time, and even if she has undergone regular testing, the state </w:t>
      </w:r>
      <w:r w:rsidRPr="00430392">
        <w:rPr>
          <w:rFonts w:ascii="Times New Roman" w:hAnsi="Times New Roman"/>
        </w:rPr>
        <w:t xml:space="preserve">cannot establish that any such testing was rigorous. Indeed, “testing services have stated that forensic community prefers that tests not be too challenging.” </w:t>
      </w:r>
      <w:proofErr w:type="gramStart"/>
      <w:r w:rsidRPr="00430392">
        <w:rPr>
          <w:rFonts w:ascii="Times New Roman" w:hAnsi="Times New Roman"/>
          <w:i/>
        </w:rPr>
        <w:t xml:space="preserve">Id. </w:t>
      </w:r>
      <w:r w:rsidRPr="00430392">
        <w:rPr>
          <w:rFonts w:ascii="Times New Roman" w:hAnsi="Times New Roman"/>
        </w:rPr>
        <w:t>at 57.]</w:t>
      </w:r>
      <w:proofErr w:type="gramEnd"/>
      <w:r w:rsidRPr="00430392">
        <w:rPr>
          <w:rFonts w:ascii="Times New Roman" w:hAnsi="Times New Roman"/>
          <w:b/>
        </w:rPr>
        <w:t xml:space="preserve"> </w:t>
      </w:r>
    </w:p>
    <w:p w:rsidR="00430392" w:rsidRDefault="009C63E4" w:rsidP="009C63E4">
      <w:pPr>
        <w:spacing w:line="480" w:lineRule="auto"/>
        <w:ind w:firstLine="720"/>
        <w:rPr>
          <w:rFonts w:ascii="Times New Roman" w:hAnsi="Times New Roman"/>
        </w:rPr>
      </w:pPr>
      <w:r>
        <w:rPr>
          <w:rFonts w:ascii="Times New Roman" w:hAnsi="Times New Roman"/>
        </w:rPr>
        <w:t xml:space="preserve">Furthermore, </w:t>
      </w:r>
      <w:r w:rsidR="00430392" w:rsidRPr="00430392">
        <w:rPr>
          <w:rFonts w:ascii="Times New Roman" w:hAnsi="Times New Roman"/>
        </w:rPr>
        <w:t xml:space="preserve">this Court should consider the extent to which the examiner in the particular case has “taken” “measures . . . to mitigate bias during casework.” </w:t>
      </w:r>
      <w:r w:rsidR="00430392" w:rsidRPr="00430392">
        <w:rPr>
          <w:rFonts w:ascii="Times New Roman" w:hAnsi="Times New Roman"/>
          <w:i/>
        </w:rPr>
        <w:t>Id.</w:t>
      </w:r>
      <w:r w:rsidR="00430392" w:rsidRPr="00430392">
        <w:rPr>
          <w:rFonts w:ascii="Times New Roman" w:hAnsi="Times New Roman"/>
        </w:rPr>
        <w:t xml:space="preserve"> For example, the examiner should demonstrate that </w:t>
      </w:r>
      <w:r w:rsidR="009105DD">
        <w:rPr>
          <w:rFonts w:ascii="Times New Roman" w:hAnsi="Times New Roman"/>
        </w:rPr>
        <w:t>she</w:t>
      </w:r>
      <w:r w:rsidR="00430392" w:rsidRPr="00430392">
        <w:rPr>
          <w:rFonts w:ascii="Times New Roman" w:hAnsi="Times New Roman"/>
        </w:rPr>
        <w:t xml:space="preserve"> employed “linear ACE-V</w:t>
      </w:r>
      <w:r w:rsidR="009105DD">
        <w:rPr>
          <w:rFonts w:ascii="Times New Roman" w:hAnsi="Times New Roman"/>
        </w:rPr>
        <w:t xml:space="preserve">” by completely documenting </w:t>
      </w:r>
      <w:r w:rsidR="00430392" w:rsidRPr="00430392">
        <w:rPr>
          <w:rFonts w:ascii="Times New Roman" w:hAnsi="Times New Roman"/>
        </w:rPr>
        <w:t xml:space="preserve">her analysis of the latent fingerprint before looking at any known fingerprint and separately documenting any additional data used during comparison and evaluation.  </w:t>
      </w:r>
      <w:proofErr w:type="gramStart"/>
      <w:r w:rsidR="00430392" w:rsidRPr="00430392">
        <w:rPr>
          <w:rFonts w:ascii="Times New Roman" w:hAnsi="Times New Roman"/>
          <w:i/>
        </w:rPr>
        <w:t xml:space="preserve">Id. </w:t>
      </w:r>
      <w:r w:rsidR="00430392" w:rsidRPr="00430392">
        <w:rPr>
          <w:rFonts w:ascii="Times New Roman" w:hAnsi="Times New Roman"/>
        </w:rPr>
        <w:t>at 101.</w:t>
      </w:r>
      <w:proofErr w:type="gramEnd"/>
      <w:r w:rsidR="00430392" w:rsidRPr="00430392">
        <w:rPr>
          <w:rFonts w:ascii="Times New Roman" w:hAnsi="Times New Roman"/>
        </w:rPr>
        <w:t xml:space="preserve"> Similarly, safeguards should be in place to ensure the examiner was not exposed to biasing information. </w:t>
      </w:r>
    </w:p>
    <w:p w:rsidR="009105DD" w:rsidRDefault="009105DD" w:rsidP="009105DD">
      <w:pPr>
        <w:pStyle w:val="ListParagraph"/>
        <w:numPr>
          <w:ilvl w:val="0"/>
          <w:numId w:val="4"/>
        </w:numPr>
        <w:spacing w:line="480" w:lineRule="auto"/>
        <w:rPr>
          <w:rFonts w:ascii="Times New Roman" w:hAnsi="Times New Roman"/>
          <w:b/>
        </w:rPr>
      </w:pPr>
      <w:r>
        <w:rPr>
          <w:rFonts w:ascii="Times New Roman" w:hAnsi="Times New Roman"/>
          <w:b/>
        </w:rPr>
        <w:t xml:space="preserve">If not excluded entirely by this court, the expert latent print testimony must be limited. </w:t>
      </w:r>
    </w:p>
    <w:p w:rsidR="009105DD" w:rsidRPr="00E86A39" w:rsidRDefault="009105DD" w:rsidP="009105DD">
      <w:pPr>
        <w:pStyle w:val="ListParagraph"/>
        <w:numPr>
          <w:ilvl w:val="0"/>
          <w:numId w:val="14"/>
        </w:numPr>
        <w:spacing w:line="480" w:lineRule="auto"/>
        <w:rPr>
          <w:rFonts w:ascii="Times New Roman" w:hAnsi="Times New Roman"/>
          <w:u w:val="single"/>
        </w:rPr>
      </w:pPr>
      <w:r w:rsidRPr="00E86A39">
        <w:rPr>
          <w:rFonts w:ascii="Times New Roman" w:hAnsi="Times New Roman"/>
          <w:u w:val="single"/>
        </w:rPr>
        <w:t>Language used by the examiner</w:t>
      </w:r>
    </w:p>
    <w:p w:rsidR="00E86A39" w:rsidRDefault="00244CC2" w:rsidP="00E86A39">
      <w:pPr>
        <w:pStyle w:val="NormalWeb"/>
        <w:spacing w:before="0" w:beforeAutospacing="0" w:after="0" w:afterAutospacing="0" w:line="480" w:lineRule="auto"/>
        <w:ind w:firstLine="720"/>
        <w:rPr>
          <w:rFonts w:eastAsia="Times New Roman"/>
        </w:rPr>
      </w:pPr>
      <w:r w:rsidRPr="00244CC2">
        <w:t xml:space="preserve">Even if a method is foundationally valid, any expert testimony based on that method must also be foundationally valid. </w:t>
      </w:r>
      <w:proofErr w:type="gramStart"/>
      <w:r w:rsidRPr="00244CC2">
        <w:t>PCAST Report at 54.</w:t>
      </w:r>
      <w:proofErr w:type="gramEnd"/>
      <w:r w:rsidRPr="00244CC2">
        <w:t xml:space="preserve"> In particular, “</w:t>
      </w:r>
      <w:r w:rsidRPr="00244CC2">
        <w:rPr>
          <w:i/>
        </w:rPr>
        <w:t>[s]</w:t>
      </w:r>
      <w:proofErr w:type="spellStart"/>
      <w:r w:rsidRPr="00244CC2">
        <w:rPr>
          <w:i/>
        </w:rPr>
        <w:t>tatements</w:t>
      </w:r>
      <w:proofErr w:type="spellEnd"/>
      <w:r w:rsidRPr="00244CC2">
        <w:rPr>
          <w:i/>
        </w:rPr>
        <w:t xml:space="preserve"> claiming or implying greater certainty than demonstrated by empirical evidence are scientifically invalid</w:t>
      </w:r>
      <w:r w:rsidRPr="00244CC2">
        <w:t xml:space="preserve">.” </w:t>
      </w:r>
      <w:proofErr w:type="gramStart"/>
      <w:r w:rsidRPr="00244CC2">
        <w:lastRenderedPageBreak/>
        <w:t>PCAST Report at 54 (emphasis in original).</w:t>
      </w:r>
      <w:proofErr w:type="gramEnd"/>
      <w:r w:rsidRPr="00244CC2">
        <w:t xml:space="preserve"> Here, any statement by an expert on the stand that Mr.</w:t>
      </w:r>
      <w:r>
        <w:t xml:space="preserve"> Moore’s</w:t>
      </w:r>
      <w:r w:rsidRPr="00244CC2">
        <w:t xml:space="preserve"> known print “matches” the latent print, or is the source of the latent print, is in essence a statement of absolute source attribution. </w:t>
      </w:r>
      <w:r w:rsidRPr="00244CC2">
        <w:rPr>
          <w:i/>
        </w:rPr>
        <w:t>See, e.g.</w:t>
      </w:r>
      <w:r w:rsidRPr="00244CC2">
        <w:t>, NAS Report (2009) at 141-42 (“[W]hen a latent print examiner testifies that two impressions ‘match,’ they are communicating the notion that the prints could not possibly have come from two different individuals.”). As detailed above, however, a statement that two prints could not possibly have come from two different individuals is a statement implying certainty that simply has no empirical foundation, even if one assumes that ACE-V is a generally reliable process.</w:t>
      </w:r>
      <w:r w:rsidR="00E86A39">
        <w:t xml:space="preserve"> </w:t>
      </w:r>
      <w:r w:rsidR="00E86A39" w:rsidRPr="00E86A39">
        <w:t>The stakes in allowing a latent print expert to testify to an alleged fingerprint “match” are high.</w:t>
      </w:r>
      <w:r w:rsidR="00E86A39">
        <w:t xml:space="preserve"> </w:t>
      </w:r>
      <w:r w:rsidR="00E86A39">
        <w:rPr>
          <w:color w:val="000000"/>
        </w:rPr>
        <w:t>Perhaps because juries view forensic testimony with unflinching trust, the use of misleading or embellished forensic expert testimony is one of the leading causes of wrongful convictions.  </w:t>
      </w:r>
      <w:proofErr w:type="gramStart"/>
      <w:r w:rsidR="00E86A39">
        <w:rPr>
          <w:color w:val="000000"/>
        </w:rPr>
        <w:t xml:space="preserve">Brandon L. Garrett, </w:t>
      </w:r>
      <w:r w:rsidR="00E86A39">
        <w:rPr>
          <w:i/>
          <w:iCs/>
          <w:color w:val="000000"/>
        </w:rPr>
        <w:t>Judging Innocence</w:t>
      </w:r>
      <w:r w:rsidR="00E86A39">
        <w:rPr>
          <w:color w:val="000000"/>
        </w:rPr>
        <w:t>, 108 Colum.</w:t>
      </w:r>
      <w:proofErr w:type="gramEnd"/>
      <w:r w:rsidR="00E86A39">
        <w:rPr>
          <w:color w:val="000000"/>
        </w:rPr>
        <w:t xml:space="preserve"> L. Rev. 55, 83-84 (2008). These concerns are heightened when an expert makes grandiose claims of source attribution based on pattern evidence. A</w:t>
      </w:r>
      <w:r w:rsidR="00E86A39">
        <w:rPr>
          <w:rFonts w:eastAsia="Times New Roman"/>
        </w:rPr>
        <w:t xml:space="preserve">s one jurist wrote in condemning the testimony of a </w:t>
      </w:r>
      <w:proofErr w:type="spellStart"/>
      <w:r w:rsidR="00E86A39">
        <w:rPr>
          <w:rFonts w:eastAsia="Times New Roman"/>
        </w:rPr>
        <w:t>toolmark</w:t>
      </w:r>
      <w:proofErr w:type="spellEnd"/>
      <w:r w:rsidR="00E86A39">
        <w:rPr>
          <w:rFonts w:eastAsia="Times New Roman"/>
        </w:rPr>
        <w:t xml:space="preserve"> examiner that</w:t>
      </w:r>
      <w:r w:rsidR="00E86A39">
        <w:rPr>
          <w:rFonts w:eastAsia="Times New Roman"/>
          <w:i/>
        </w:rPr>
        <w:t xml:space="preserve"> </w:t>
      </w:r>
      <w:r w:rsidR="00E86A39">
        <w:rPr>
          <w:rFonts w:eastAsia="Times New Roman"/>
        </w:rPr>
        <w:t>markings on the bullets were “unique” to a gun recovered from a defendant’s apartment: “This is not evidence on which we can in good conscience rely, particularly in criminal cases, where we demand proof—real proof—beyond a reasonable doubt, precisely because the stakes are so high.</w:t>
      </w:r>
      <w:r w:rsidR="00E86A39">
        <w:rPr>
          <w:rFonts w:eastAsia="Times New Roman"/>
          <w:i/>
        </w:rPr>
        <w:t>” Williams v. US</w:t>
      </w:r>
      <w:r w:rsidR="00E86A39">
        <w:rPr>
          <w:rFonts w:eastAsia="Times New Roman"/>
        </w:rPr>
        <w:t>, 130 A.3d 343, 355 (2016) (Easterly, J., concurring) (disapproving of improperly admitted expert claim of certainty but affirming on plain error grounds).</w:t>
      </w:r>
    </w:p>
    <w:p w:rsidR="00244CC2" w:rsidRDefault="00140D63" w:rsidP="00140D63">
      <w:pPr>
        <w:pStyle w:val="NormalWeb"/>
        <w:spacing w:before="0" w:beforeAutospacing="0" w:after="0" w:afterAutospacing="0" w:line="480" w:lineRule="auto"/>
        <w:ind w:firstLine="720"/>
        <w:rPr>
          <w:rFonts w:eastAsia="Times New Roman"/>
        </w:rPr>
      </w:pPr>
      <w:r>
        <w:rPr>
          <w:rFonts w:eastAsia="Times New Roman"/>
        </w:rPr>
        <w:t>Finally, examiners should never be allowed to testify to “</w:t>
      </w:r>
      <w:r w:rsidRPr="00B80D27">
        <w:rPr>
          <w:rFonts w:eastAsia="Times New Roman"/>
        </w:rPr>
        <w:t>scientificall</w:t>
      </w:r>
      <w:r>
        <w:rPr>
          <w:rFonts w:eastAsia="Times New Roman"/>
        </w:rPr>
        <w:t>y indefensible claims such as: ‘zero,’ ‘vanishingly small,’ ‘</w:t>
      </w:r>
      <w:r w:rsidRPr="00B80D27">
        <w:rPr>
          <w:rFonts w:eastAsia="Times New Roman"/>
        </w:rPr>
        <w:t>essent</w:t>
      </w:r>
      <w:r>
        <w:rPr>
          <w:rFonts w:eastAsia="Times New Roman"/>
        </w:rPr>
        <w:t>ially zero,’ ‘negligible,’ ‘minimal,’ or ‘microscopic’ error rates; ‘100 percent certainty’ or proof ‘</w:t>
      </w:r>
      <w:r w:rsidRPr="00B80D27">
        <w:rPr>
          <w:rFonts w:eastAsia="Times New Roman"/>
        </w:rPr>
        <w:t xml:space="preserve">to a reasonable degree of scientific </w:t>
      </w:r>
      <w:r>
        <w:rPr>
          <w:rFonts w:eastAsia="Times New Roman"/>
        </w:rPr>
        <w:t>certainty;’ identification ‘</w:t>
      </w:r>
      <w:r w:rsidRPr="00B80D27">
        <w:rPr>
          <w:rFonts w:eastAsia="Times New Roman"/>
        </w:rPr>
        <w:t xml:space="preserve">to the </w:t>
      </w:r>
      <w:r>
        <w:rPr>
          <w:rFonts w:eastAsia="Times New Roman"/>
        </w:rPr>
        <w:t>exclusion of all other sources;’</w:t>
      </w:r>
      <w:r w:rsidRPr="00B80D27">
        <w:rPr>
          <w:rFonts w:eastAsia="Times New Roman"/>
        </w:rPr>
        <w:t xml:space="preserve"> or a chance</w:t>
      </w:r>
      <w:r>
        <w:rPr>
          <w:rFonts w:eastAsia="Times New Roman"/>
        </w:rPr>
        <w:t xml:space="preserve"> of error so remote as </w:t>
      </w:r>
      <w:r>
        <w:rPr>
          <w:rFonts w:eastAsia="Times New Roman"/>
        </w:rPr>
        <w:lastRenderedPageBreak/>
        <w:t>to be a ‘</w:t>
      </w:r>
      <w:r w:rsidRPr="00B80D27">
        <w:rPr>
          <w:rFonts w:eastAsia="Times New Roman"/>
        </w:rPr>
        <w:t>practical impossibility.</w:t>
      </w:r>
      <w:r>
        <w:rPr>
          <w:rFonts w:eastAsia="Times New Roman"/>
        </w:rPr>
        <w:t xml:space="preserve">’” </w:t>
      </w:r>
      <w:proofErr w:type="gramStart"/>
      <w:r>
        <w:rPr>
          <w:rFonts w:eastAsia="Times New Roman"/>
        </w:rPr>
        <w:t>PCAST Report at 19.</w:t>
      </w:r>
      <w:proofErr w:type="gramEnd"/>
      <w:r>
        <w:rPr>
          <w:rFonts w:eastAsia="Times New Roman"/>
        </w:rPr>
        <w:t xml:space="preserve"> Such statements “are not scientifically valid.” </w:t>
      </w:r>
      <w:r>
        <w:rPr>
          <w:rFonts w:eastAsia="Times New Roman"/>
          <w:i/>
        </w:rPr>
        <w:t xml:space="preserve">Id. </w:t>
      </w:r>
      <w:r w:rsidRPr="003C2975">
        <w:rPr>
          <w:rFonts w:eastAsia="Times New Roman"/>
          <w:i/>
        </w:rPr>
        <w:t>See also</w:t>
      </w:r>
      <w:r>
        <w:rPr>
          <w:rFonts w:eastAsia="Times New Roman"/>
        </w:rPr>
        <w:t xml:space="preserve"> NAS Report (2009) at 142-43 (“claims that… [fingerprint] analyses have zero error rates are not scientifically plausible.”); </w:t>
      </w:r>
      <w:r w:rsidRPr="007A1792">
        <w:rPr>
          <w:rFonts w:eastAsia="Times New Roman"/>
        </w:rPr>
        <w:t xml:space="preserve">National Commission on Forensic Science, </w:t>
      </w:r>
      <w:r>
        <w:rPr>
          <w:rFonts w:eastAsia="Times New Roman"/>
          <w:i/>
        </w:rPr>
        <w:t>Recommendations to the Attorney General Regarding Use of the Term “Reasonable Degree of Scientific Certainty”</w:t>
      </w:r>
      <w:r w:rsidRPr="007A1792">
        <w:rPr>
          <w:rFonts w:eastAsia="Times New Roman"/>
        </w:rPr>
        <w:t>(</w:t>
      </w:r>
      <w:r>
        <w:rPr>
          <w:rFonts w:eastAsia="Times New Roman"/>
        </w:rPr>
        <w:t>Approved March 22</w:t>
      </w:r>
      <w:r w:rsidRPr="007A1792">
        <w:rPr>
          <w:rFonts w:eastAsia="Times New Roman"/>
        </w:rPr>
        <w:t>, 2016)</w:t>
      </w:r>
      <w:r>
        <w:rPr>
          <w:rFonts w:eastAsia="Times New Roman"/>
        </w:rPr>
        <w:t xml:space="preserve"> </w:t>
      </w:r>
      <w:hyperlink r:id="rId8" w:history="1">
        <w:r w:rsidR="000C14C1" w:rsidRPr="00B55ECC">
          <w:rPr>
            <w:rStyle w:val="Hyperlink"/>
            <w:rFonts w:eastAsia="Times New Roman"/>
          </w:rPr>
          <w:t>https://www.justice.gov/ncfs/file/839731/download</w:t>
        </w:r>
      </w:hyperlink>
      <w:r>
        <w:rPr>
          <w:rFonts w:eastAsia="Times New Roman"/>
        </w:rPr>
        <w:t>.</w:t>
      </w:r>
    </w:p>
    <w:p w:rsidR="000C14C1" w:rsidRPr="009C63E4" w:rsidRDefault="000C14C1" w:rsidP="00140D63">
      <w:pPr>
        <w:pStyle w:val="NormalWeb"/>
        <w:spacing w:before="0" w:beforeAutospacing="0" w:after="0" w:afterAutospacing="0" w:line="480" w:lineRule="auto"/>
        <w:ind w:firstLine="720"/>
        <w:rPr>
          <w:rFonts w:eastAsia="Times New Roman"/>
        </w:rPr>
      </w:pPr>
      <w:r w:rsidRPr="009C63E4">
        <w:t xml:space="preserve">The PCAST report suggested that forensic scientists instead use the term “proposed identification” in order to “appropriately convey the examiner’s conclusion, along with the possibility that it might be wrong” </w:t>
      </w:r>
      <w:r w:rsidR="009C63E4" w:rsidRPr="009C63E4">
        <w:t>PCAST Report at 45.</w:t>
      </w:r>
    </w:p>
    <w:p w:rsidR="009105DD" w:rsidRPr="00E86A39" w:rsidRDefault="009105DD" w:rsidP="009105DD">
      <w:pPr>
        <w:pStyle w:val="ListParagraph"/>
        <w:numPr>
          <w:ilvl w:val="0"/>
          <w:numId w:val="14"/>
        </w:numPr>
        <w:spacing w:line="480" w:lineRule="auto"/>
        <w:rPr>
          <w:rFonts w:ascii="Times New Roman" w:hAnsi="Times New Roman"/>
          <w:u w:val="single"/>
        </w:rPr>
      </w:pPr>
      <w:r w:rsidRPr="00E86A39">
        <w:rPr>
          <w:rFonts w:ascii="Times New Roman" w:hAnsi="Times New Roman"/>
          <w:u w:val="single"/>
        </w:rPr>
        <w:t>Qualify opinion by acknowledging the level of certainty</w:t>
      </w:r>
      <w:r w:rsidR="0015431E" w:rsidRPr="00E86A39">
        <w:rPr>
          <w:rFonts w:ascii="Times New Roman" w:hAnsi="Times New Roman"/>
          <w:u w:val="single"/>
        </w:rPr>
        <w:t xml:space="preserve"> in any conclusion</w:t>
      </w:r>
    </w:p>
    <w:p w:rsidR="00A0318E" w:rsidRDefault="00244CC2" w:rsidP="00A0318E">
      <w:pPr>
        <w:spacing w:line="480" w:lineRule="auto"/>
        <w:ind w:firstLine="360"/>
        <w:rPr>
          <w:rFonts w:ascii="Times New Roman" w:hAnsi="Times New Roman"/>
        </w:rPr>
      </w:pPr>
      <w:r>
        <w:rPr>
          <w:rFonts w:ascii="Times New Roman" w:hAnsi="Times New Roman"/>
        </w:rPr>
        <w:t>I</w:t>
      </w:r>
      <w:r w:rsidR="00140D63">
        <w:rPr>
          <w:rFonts w:ascii="Times New Roman" w:hAnsi="Times New Roman"/>
        </w:rPr>
        <w:t xml:space="preserve">f Ms. Waller </w:t>
      </w:r>
      <w:r w:rsidRPr="00244CC2">
        <w:rPr>
          <w:rFonts w:ascii="Times New Roman" w:hAnsi="Times New Roman"/>
        </w:rPr>
        <w:t>is allowed to testify at all, even without a</w:t>
      </w:r>
      <w:r w:rsidR="00E86A39">
        <w:rPr>
          <w:rFonts w:ascii="Times New Roman" w:hAnsi="Times New Roman"/>
        </w:rPr>
        <w:t xml:space="preserve"> statement about a “match,” </w:t>
      </w:r>
      <w:r w:rsidRPr="00244CC2">
        <w:rPr>
          <w:rFonts w:ascii="Times New Roman" w:hAnsi="Times New Roman"/>
        </w:rPr>
        <w:t xml:space="preserve">her opinion about the similarities between the latent print and Mr. </w:t>
      </w:r>
      <w:r w:rsidR="00E86A39">
        <w:rPr>
          <w:rFonts w:ascii="Times New Roman" w:hAnsi="Times New Roman"/>
        </w:rPr>
        <w:t>Moore</w:t>
      </w:r>
      <w:r w:rsidRPr="00244CC2">
        <w:rPr>
          <w:rFonts w:ascii="Times New Roman" w:hAnsi="Times New Roman"/>
        </w:rPr>
        <w:t>’s known prints will be an implicit signal to the jury that these similarities must have some probative value in the case (otherwise, the judge woul</w:t>
      </w:r>
      <w:r w:rsidR="00140D63">
        <w:rPr>
          <w:rFonts w:ascii="Times New Roman" w:hAnsi="Times New Roman"/>
        </w:rPr>
        <w:t>d have presumably excluded the her</w:t>
      </w:r>
      <w:r w:rsidRPr="00244CC2">
        <w:rPr>
          <w:rFonts w:ascii="Times New Roman" w:hAnsi="Times New Roman"/>
        </w:rPr>
        <w:t xml:space="preserve"> testimony as irrelevant). The unadorned opinion of the expert about similarities in the pair of prints, without any information about the high error rate, will leave the jury to determine for itself the probative value of such similarities. Given lay jurors’ grossly inaccurate assumptions about the false positive rate of fingerprint examiners, </w:t>
      </w:r>
      <w:r w:rsidRPr="00244CC2">
        <w:rPr>
          <w:rFonts w:ascii="Times New Roman" w:hAnsi="Times New Roman"/>
          <w:i/>
        </w:rPr>
        <w:t xml:space="preserve">see </w:t>
      </w:r>
      <w:r w:rsidRPr="00244CC2">
        <w:rPr>
          <w:rFonts w:ascii="Times New Roman" w:hAnsi="Times New Roman"/>
        </w:rPr>
        <w:t xml:space="preserve">PCAST Report at 95 n. 282 (citing a study showing that mock jurors believed the false positive rate was 1 in 5.5 million), allowing the expert testimony without an explicit qualification of the level of uncertainty would be both contrary to </w:t>
      </w:r>
      <w:r w:rsidR="00140D63">
        <w:rPr>
          <w:rFonts w:ascii="Times New Roman" w:hAnsi="Times New Roman"/>
        </w:rPr>
        <w:t xml:space="preserve">the </w:t>
      </w:r>
      <w:r w:rsidRPr="00244CC2">
        <w:rPr>
          <w:rFonts w:ascii="Times New Roman" w:hAnsi="Times New Roman"/>
        </w:rPr>
        <w:t xml:space="preserve">requirement of foundational validity and unduly prejudicial. </w:t>
      </w:r>
      <w:r w:rsidRPr="00244CC2">
        <w:rPr>
          <w:rFonts w:ascii="Times New Roman" w:hAnsi="Times New Roman"/>
          <w:i/>
        </w:rPr>
        <w:t xml:space="preserve">See also </w:t>
      </w:r>
      <w:r w:rsidRPr="00244CC2">
        <w:rPr>
          <w:rFonts w:ascii="Times New Roman" w:hAnsi="Times New Roman"/>
        </w:rPr>
        <w:t xml:space="preserve">PCAST Report at 56 (requiring, </w:t>
      </w:r>
      <w:proofErr w:type="gramStart"/>
      <w:r w:rsidRPr="00244CC2">
        <w:rPr>
          <w:rFonts w:ascii="Times New Roman" w:hAnsi="Times New Roman"/>
        </w:rPr>
        <w:t>to establish</w:t>
      </w:r>
      <w:proofErr w:type="gramEnd"/>
      <w:r w:rsidRPr="00244CC2">
        <w:rPr>
          <w:rFonts w:ascii="Times New Roman" w:hAnsi="Times New Roman"/>
        </w:rPr>
        <w:t xml:space="preserve"> validity “as applied,” that the expert report the false positive rate when testifying).</w:t>
      </w:r>
      <w:r w:rsidR="00A0318E">
        <w:rPr>
          <w:rFonts w:ascii="Times New Roman" w:hAnsi="Times New Roman"/>
        </w:rPr>
        <w:t xml:space="preserve"> </w:t>
      </w:r>
    </w:p>
    <w:p w:rsidR="00244CC2" w:rsidRPr="00244CC2" w:rsidRDefault="00A0318E" w:rsidP="00A0318E">
      <w:pPr>
        <w:spacing w:line="480" w:lineRule="auto"/>
        <w:ind w:firstLine="360"/>
        <w:rPr>
          <w:rFonts w:ascii="Times New Roman" w:hAnsi="Times New Roman"/>
        </w:rPr>
      </w:pPr>
      <w:r>
        <w:rPr>
          <w:rFonts w:ascii="Times New Roman" w:hAnsi="Times New Roman"/>
        </w:rPr>
        <w:t xml:space="preserve">Therefore, if her testimony is permitted, Ms. Waller must be required to inform jurors and </w:t>
      </w:r>
      <w:r>
        <w:rPr>
          <w:rFonts w:ascii="Times New Roman" w:hAnsi="Times New Roman"/>
        </w:rPr>
        <w:lastRenderedPageBreak/>
        <w:t>qualify her opinion that “</w:t>
      </w:r>
      <w:r w:rsidRPr="00A0318E">
        <w:rPr>
          <w:rFonts w:ascii="Times New Roman" w:hAnsi="Times New Roman"/>
        </w:rPr>
        <w:t>(1) only two properly designed studies of the accuracy of latent fingerprint analysis have been conducted and (2) these studies found false positive rates that could be as high as 1 in 306 in one study and 1 in 18 in the other study. This would appropriately inform jurors that errors occur at detectable frequencies, allowing them to weigh the probative value of the evidence</w:t>
      </w:r>
      <w:r>
        <w:rPr>
          <w:rFonts w:ascii="Times New Roman" w:hAnsi="Times New Roman"/>
        </w:rPr>
        <w:t xml:space="preserve">.” </w:t>
      </w:r>
      <w:proofErr w:type="gramStart"/>
      <w:r>
        <w:rPr>
          <w:rFonts w:ascii="Times New Roman" w:hAnsi="Times New Roman"/>
          <w:i/>
        </w:rPr>
        <w:t>Id</w:t>
      </w:r>
      <w:r>
        <w:rPr>
          <w:rFonts w:ascii="Times New Roman" w:hAnsi="Times New Roman"/>
        </w:rPr>
        <w:t>. at 96.</w:t>
      </w:r>
      <w:proofErr w:type="gramEnd"/>
      <w:r>
        <w:rPr>
          <w:rFonts w:ascii="Times New Roman" w:hAnsi="Times New Roman"/>
        </w:rPr>
        <w:t xml:space="preserve"> </w:t>
      </w:r>
    </w:p>
    <w:p w:rsidR="0015431E" w:rsidRDefault="0015431E" w:rsidP="009105DD">
      <w:pPr>
        <w:pStyle w:val="ListParagraph"/>
        <w:numPr>
          <w:ilvl w:val="0"/>
          <w:numId w:val="14"/>
        </w:numPr>
        <w:spacing w:line="480" w:lineRule="auto"/>
        <w:rPr>
          <w:rFonts w:ascii="Times New Roman" w:hAnsi="Times New Roman"/>
          <w:u w:val="single"/>
        </w:rPr>
      </w:pPr>
      <w:r w:rsidRPr="00A0318E">
        <w:rPr>
          <w:rFonts w:ascii="Times New Roman" w:hAnsi="Times New Roman"/>
          <w:u w:val="single"/>
        </w:rPr>
        <w:t xml:space="preserve">Omit reference to </w:t>
      </w:r>
      <w:r w:rsidR="00E839EF">
        <w:rPr>
          <w:rFonts w:ascii="Times New Roman" w:hAnsi="Times New Roman"/>
          <w:u w:val="single"/>
        </w:rPr>
        <w:t>Automated Fingerprint Identification System (</w:t>
      </w:r>
      <w:r w:rsidRPr="00A0318E">
        <w:rPr>
          <w:rFonts w:ascii="Times New Roman" w:hAnsi="Times New Roman"/>
          <w:u w:val="single"/>
        </w:rPr>
        <w:t>AFIS</w:t>
      </w:r>
      <w:r w:rsidR="00645565">
        <w:rPr>
          <w:rFonts w:ascii="Times New Roman" w:hAnsi="Times New Roman"/>
          <w:u w:val="single"/>
        </w:rPr>
        <w:t>) and/or</w:t>
      </w:r>
      <w:r w:rsidR="00E839EF">
        <w:rPr>
          <w:rFonts w:ascii="Times New Roman" w:hAnsi="Times New Roman"/>
          <w:u w:val="single"/>
        </w:rPr>
        <w:t xml:space="preserve"> S</w:t>
      </w:r>
      <w:r w:rsidR="00645565">
        <w:rPr>
          <w:rFonts w:ascii="Times New Roman" w:hAnsi="Times New Roman"/>
          <w:u w:val="single"/>
        </w:rPr>
        <w:t xml:space="preserve">tate </w:t>
      </w:r>
      <w:r w:rsidR="00645565" w:rsidRPr="00645565">
        <w:rPr>
          <w:rFonts w:ascii="Times New Roman" w:hAnsi="Times New Roman"/>
          <w:u w:val="single"/>
        </w:rPr>
        <w:t>Automated Fingerprint Identification System</w:t>
      </w:r>
      <w:r w:rsidR="00645565">
        <w:rPr>
          <w:rFonts w:ascii="Times New Roman" w:hAnsi="Times New Roman"/>
          <w:u w:val="single"/>
        </w:rPr>
        <w:t xml:space="preserve"> (SAFIS)</w:t>
      </w:r>
      <w:r w:rsidR="00645565">
        <w:rPr>
          <w:rFonts w:ascii="Times New Roman" w:hAnsi="Times New Roman"/>
        </w:rPr>
        <w:t xml:space="preserve">.  </w:t>
      </w:r>
    </w:p>
    <w:p w:rsidR="00645565" w:rsidRDefault="00A0318E" w:rsidP="00AE0F7D">
      <w:pPr>
        <w:spacing w:line="480" w:lineRule="auto"/>
        <w:ind w:firstLine="360"/>
        <w:rPr>
          <w:rFonts w:ascii="Times New Roman" w:hAnsi="Times New Roman"/>
        </w:rPr>
      </w:pPr>
      <w:r>
        <w:rPr>
          <w:rFonts w:ascii="Times New Roman" w:hAnsi="Times New Roman"/>
        </w:rPr>
        <w:t xml:space="preserve">Based on the report received by Ms. Waller as provided in discovery, it is believed that </w:t>
      </w:r>
      <w:r w:rsidR="00AE0F7D">
        <w:rPr>
          <w:rFonts w:ascii="Times New Roman" w:hAnsi="Times New Roman"/>
        </w:rPr>
        <w:t xml:space="preserve">Ms. Waller first </w:t>
      </w:r>
      <w:r w:rsidR="00C0053E">
        <w:rPr>
          <w:rFonts w:ascii="Times New Roman" w:hAnsi="Times New Roman"/>
        </w:rPr>
        <w:t xml:space="preserve">ran the latent print against </w:t>
      </w:r>
      <w:r w:rsidR="00645565" w:rsidRPr="00645565">
        <w:rPr>
          <w:rFonts w:ascii="Times New Roman" w:hAnsi="Times New Roman"/>
        </w:rPr>
        <w:t>Automated Fingerprint Identification System (AFIS)</w:t>
      </w:r>
      <w:r w:rsidR="00645565">
        <w:rPr>
          <w:rFonts w:ascii="Times New Roman" w:hAnsi="Times New Roman"/>
        </w:rPr>
        <w:t xml:space="preserve"> </w:t>
      </w:r>
      <w:r w:rsidR="00645565" w:rsidRPr="00645565">
        <w:rPr>
          <w:rFonts w:ascii="Times New Roman" w:hAnsi="Times New Roman"/>
        </w:rPr>
        <w:t>and/or State Automated Fingerprint Identification System (SAFIS).</w:t>
      </w:r>
      <w:r w:rsidR="00645565">
        <w:rPr>
          <w:rFonts w:ascii="Times New Roman" w:hAnsi="Times New Roman"/>
        </w:rPr>
        <w:t xml:space="preserve">  AFIS is a database containing large numbers of known prints from various sources, most namely when a person is arrested and then fingerprinted.  The system uses image-recognition algorithms to generate a list of potential candidates that share similar fingerprint features.  Then, the examiner manually compares the </w:t>
      </w:r>
      <w:proofErr w:type="spellStart"/>
      <w:r w:rsidR="00645565">
        <w:rPr>
          <w:rFonts w:ascii="Times New Roman" w:hAnsi="Times New Roman"/>
        </w:rPr>
        <w:t>latent</w:t>
      </w:r>
      <w:proofErr w:type="spellEnd"/>
      <w:r w:rsidR="00645565">
        <w:rPr>
          <w:rFonts w:ascii="Times New Roman" w:hAnsi="Times New Roman"/>
        </w:rPr>
        <w:t xml:space="preserve"> print to the fingerprints from the closest candidate matches generated by the computer by studying selected features and then comes to a subjective decision as to whether they are similar enough to declare a proposed identification.” </w:t>
      </w:r>
      <w:proofErr w:type="gramStart"/>
      <w:r w:rsidR="00645565">
        <w:rPr>
          <w:rFonts w:ascii="Times New Roman" w:hAnsi="Times New Roman"/>
        </w:rPr>
        <w:t>PCAST report at 89.</w:t>
      </w:r>
      <w:proofErr w:type="gramEnd"/>
      <w:r w:rsidR="00645565">
        <w:rPr>
          <w:rFonts w:ascii="Times New Roman" w:hAnsi="Times New Roman"/>
        </w:rPr>
        <w:t xml:space="preserve"> </w:t>
      </w:r>
    </w:p>
    <w:p w:rsidR="00A0318E" w:rsidRPr="00A0318E" w:rsidRDefault="00645565" w:rsidP="00AE0F7D">
      <w:pPr>
        <w:spacing w:line="480" w:lineRule="auto"/>
        <w:ind w:firstLine="360"/>
        <w:rPr>
          <w:rFonts w:ascii="Times New Roman" w:hAnsi="Times New Roman"/>
        </w:rPr>
      </w:pPr>
      <w:r>
        <w:rPr>
          <w:rFonts w:ascii="Times New Roman" w:hAnsi="Times New Roman"/>
        </w:rPr>
        <w:t xml:space="preserve">Mention of using this system to help identify the latent print should be excluded under N.C. R. </w:t>
      </w:r>
      <w:proofErr w:type="spellStart"/>
      <w:r>
        <w:rPr>
          <w:rFonts w:ascii="Times New Roman" w:hAnsi="Times New Roman"/>
        </w:rPr>
        <w:t>Evid</w:t>
      </w:r>
      <w:proofErr w:type="spellEnd"/>
      <w:r w:rsidR="004F116A">
        <w:rPr>
          <w:rFonts w:ascii="Times New Roman" w:hAnsi="Times New Roman"/>
        </w:rPr>
        <w:t>.</w:t>
      </w:r>
      <w:r>
        <w:rPr>
          <w:rFonts w:ascii="Times New Roman" w:hAnsi="Times New Roman"/>
        </w:rPr>
        <w:t xml:space="preserve"> 403 for two reasons.  First, its mention would signal to the jury that Mr. Moore’s fingerprints were “in the system” because he had prior arrests.  Second, and perhaps more dangerously, mention of the program may improperly convey to the jury that the computer, and not the examiner, identified Mr. Moore’s palm print as belonging to the latent print.  The prejudicial effect of this testimony outweighs any probative value.  If Ms. Waller or any other examiner’s testimony is allowed, she will still be able to convey her opinions without mention of </w:t>
      </w:r>
      <w:r>
        <w:rPr>
          <w:rFonts w:ascii="Times New Roman" w:hAnsi="Times New Roman"/>
        </w:rPr>
        <w:lastRenderedPageBreak/>
        <w:t xml:space="preserve">this step in the process. </w:t>
      </w:r>
    </w:p>
    <w:p w:rsidR="0015431E" w:rsidRDefault="0015431E" w:rsidP="009105DD">
      <w:pPr>
        <w:pStyle w:val="ListParagraph"/>
        <w:numPr>
          <w:ilvl w:val="0"/>
          <w:numId w:val="14"/>
        </w:numPr>
        <w:spacing w:line="480" w:lineRule="auto"/>
        <w:rPr>
          <w:rFonts w:ascii="Times New Roman" w:hAnsi="Times New Roman"/>
          <w:u w:val="single"/>
        </w:rPr>
      </w:pPr>
      <w:r w:rsidRPr="00E839EF">
        <w:rPr>
          <w:rFonts w:ascii="Times New Roman" w:hAnsi="Times New Roman"/>
          <w:u w:val="single"/>
        </w:rPr>
        <w:t>Omit reference to the “verification” process absent testimony of the verification examiner</w:t>
      </w:r>
    </w:p>
    <w:p w:rsidR="00645565" w:rsidRPr="004F116A" w:rsidRDefault="00645565" w:rsidP="009C63E4">
      <w:pPr>
        <w:spacing w:after="240" w:line="480" w:lineRule="auto"/>
        <w:ind w:firstLine="360"/>
        <w:rPr>
          <w:rFonts w:ascii="Times New Roman" w:hAnsi="Times New Roman"/>
        </w:rPr>
      </w:pPr>
      <w:r>
        <w:rPr>
          <w:rFonts w:ascii="Times New Roman" w:hAnsi="Times New Roman"/>
        </w:rPr>
        <w:t xml:space="preserve">Ms. Waller must be </w:t>
      </w:r>
      <w:r w:rsidR="004F116A">
        <w:rPr>
          <w:rFonts w:ascii="Times New Roman" w:hAnsi="Times New Roman"/>
        </w:rPr>
        <w:t xml:space="preserve">excluded from providing any testimony that another examiner verified the latent print as belonging to Mr. Moore during the verification process. Allowing such testimony would violate Mr. Moore’s rights </w:t>
      </w:r>
      <w:r w:rsidR="009C63E4">
        <w:rPr>
          <w:rFonts w:ascii="Times New Roman" w:hAnsi="Times New Roman"/>
        </w:rPr>
        <w:t xml:space="preserve">confrontation rights </w:t>
      </w:r>
      <w:r w:rsidR="004F116A">
        <w:rPr>
          <w:rFonts w:ascii="Times New Roman" w:hAnsi="Times New Roman"/>
        </w:rPr>
        <w:t xml:space="preserve">under the </w:t>
      </w:r>
      <w:r w:rsidR="009C63E4">
        <w:rPr>
          <w:rFonts w:ascii="Times New Roman" w:hAnsi="Times New Roman"/>
        </w:rPr>
        <w:t>Fifth, Sixth, and Fourteenth Amendments to the United States Constitution and</w:t>
      </w:r>
      <w:r w:rsidR="004F116A">
        <w:rPr>
          <w:rFonts w:ascii="Times New Roman" w:hAnsi="Times New Roman"/>
        </w:rPr>
        <w:t xml:space="preserve"> and </w:t>
      </w:r>
      <w:r w:rsidR="004F116A">
        <w:rPr>
          <w:rFonts w:ascii="Times New Roman" w:hAnsi="Times New Roman"/>
          <w:i/>
        </w:rPr>
        <w:t>Crawford v. Washington</w:t>
      </w:r>
      <w:r w:rsidR="004F116A">
        <w:rPr>
          <w:rFonts w:ascii="Times New Roman" w:hAnsi="Times New Roman"/>
        </w:rPr>
        <w:t xml:space="preserve">, </w:t>
      </w:r>
      <w:r w:rsidR="009C63E4" w:rsidRPr="009C63E4">
        <w:rPr>
          <w:rFonts w:ascii="Times New Roman" w:hAnsi="Times New Roman"/>
        </w:rPr>
        <w:t>541 U.S. 36, 37, 124 S. Ct. 1354, 1356, 158 L. Ed. 2d 177 (2004)</w:t>
      </w:r>
      <w:r w:rsidR="009C63E4">
        <w:rPr>
          <w:rFonts w:ascii="Times New Roman" w:hAnsi="Times New Roman"/>
        </w:rPr>
        <w:t xml:space="preserve">. </w:t>
      </w:r>
    </w:p>
    <w:p w:rsidR="004F116A" w:rsidRDefault="0015431E" w:rsidP="004F116A">
      <w:pPr>
        <w:pStyle w:val="ListParagraph"/>
        <w:numPr>
          <w:ilvl w:val="0"/>
          <w:numId w:val="14"/>
        </w:numPr>
        <w:spacing w:line="480" w:lineRule="auto"/>
        <w:rPr>
          <w:rFonts w:ascii="Times New Roman" w:hAnsi="Times New Roman"/>
          <w:u w:val="single"/>
        </w:rPr>
      </w:pPr>
      <w:r w:rsidRPr="00E839EF">
        <w:rPr>
          <w:rFonts w:ascii="Times New Roman" w:hAnsi="Times New Roman"/>
          <w:u w:val="single"/>
        </w:rPr>
        <w:t>Limit</w:t>
      </w:r>
      <w:r w:rsidR="009C63E4">
        <w:rPr>
          <w:rFonts w:ascii="Times New Roman" w:hAnsi="Times New Roman"/>
          <w:u w:val="single"/>
        </w:rPr>
        <w:t xml:space="preserve"> testimony</w:t>
      </w:r>
      <w:r w:rsidRPr="00E839EF">
        <w:rPr>
          <w:rFonts w:ascii="Times New Roman" w:hAnsi="Times New Roman"/>
          <w:u w:val="single"/>
        </w:rPr>
        <w:t xml:space="preserve"> to opinions stated in the report</w:t>
      </w:r>
    </w:p>
    <w:p w:rsidR="004F116A" w:rsidRPr="004F116A" w:rsidRDefault="004F116A" w:rsidP="005F6900">
      <w:pPr>
        <w:spacing w:line="480" w:lineRule="auto"/>
        <w:ind w:firstLine="360"/>
        <w:rPr>
          <w:rFonts w:ascii="Times New Roman" w:hAnsi="Times New Roman"/>
        </w:rPr>
      </w:pPr>
      <w:r>
        <w:rPr>
          <w:rFonts w:ascii="Times New Roman" w:hAnsi="Times New Roman"/>
        </w:rPr>
        <w:t xml:space="preserve">Pursuant to </w:t>
      </w:r>
      <w:r w:rsidR="0097368F">
        <w:rPr>
          <w:rFonts w:ascii="Times New Roman" w:hAnsi="Times New Roman"/>
        </w:rPr>
        <w:t xml:space="preserve">N.C. Gen. Stat </w:t>
      </w:r>
      <w:r w:rsidR="005F6900">
        <w:rPr>
          <w:rFonts w:ascii="Times New Roman" w:hAnsi="Times New Roman"/>
        </w:rPr>
        <w:t xml:space="preserve">§ 15A-902(a), Ms. Waller’s testimony must be limited to those opinions provided in discovery to Mr. Moore. </w:t>
      </w:r>
    </w:p>
    <w:p w:rsidR="0013500E" w:rsidRDefault="009C63E4" w:rsidP="009C63E4">
      <w:pPr>
        <w:spacing w:line="480" w:lineRule="auto"/>
        <w:jc w:val="center"/>
        <w:rPr>
          <w:rFonts w:ascii="Times New Roman" w:hAnsi="Times New Roman"/>
          <w:b/>
          <w:u w:val="single"/>
        </w:rPr>
      </w:pPr>
      <w:r>
        <w:rPr>
          <w:rFonts w:ascii="Times New Roman" w:hAnsi="Times New Roman"/>
          <w:b/>
          <w:u w:val="single"/>
        </w:rPr>
        <w:t>CONCLUSION</w:t>
      </w:r>
    </w:p>
    <w:p w:rsidR="009C63E4" w:rsidRPr="009C63E4" w:rsidRDefault="009C63E4" w:rsidP="009C63E4">
      <w:pPr>
        <w:spacing w:line="480" w:lineRule="auto"/>
        <w:rPr>
          <w:rFonts w:ascii="Times New Roman" w:hAnsi="Times New Roman"/>
        </w:rPr>
      </w:pPr>
      <w:r>
        <w:rPr>
          <w:rFonts w:ascii="Times New Roman" w:hAnsi="Times New Roman"/>
        </w:rPr>
        <w:tab/>
        <w:t xml:space="preserve">For the reasons stated above, this Court should exclude the State’s proffered latent print expert testimony or, in the alternative, limit and qualify it in the manner discussed above. </w:t>
      </w:r>
    </w:p>
    <w:p w:rsidR="000C204C" w:rsidRPr="000C204C" w:rsidRDefault="000C204C" w:rsidP="000C204C">
      <w:pPr>
        <w:spacing w:line="480" w:lineRule="auto"/>
        <w:ind w:left="720" w:right="720"/>
        <w:jc w:val="both"/>
        <w:rPr>
          <w:rFonts w:ascii="Times New Roman" w:hAnsi="Times New Roman"/>
        </w:rPr>
      </w:pPr>
    </w:p>
    <w:p w:rsidR="00F15F0A" w:rsidRPr="003F37BD" w:rsidRDefault="00F15F0A" w:rsidP="003F37BD">
      <w:pPr>
        <w:spacing w:line="480" w:lineRule="auto"/>
        <w:ind w:right="720"/>
        <w:jc w:val="both"/>
        <w:rPr>
          <w:rFonts w:ascii="Times New Roman" w:hAnsi="Times New Roman"/>
        </w:rPr>
      </w:pPr>
    </w:p>
    <w:p w:rsidR="00066AAD" w:rsidRDefault="00066AAD" w:rsidP="00066AAD">
      <w:pPr>
        <w:widowControl/>
        <w:autoSpaceDE/>
        <w:autoSpaceDN/>
        <w:adjustRightInd/>
        <w:spacing w:line="480" w:lineRule="auto"/>
        <w:ind w:right="720" w:firstLine="720"/>
        <w:jc w:val="both"/>
        <w:rPr>
          <w:rFonts w:ascii="Times New Roman" w:hAnsi="Times New Roman"/>
        </w:rPr>
      </w:pPr>
    </w:p>
    <w:p w:rsidR="00066AAD" w:rsidRDefault="00066AAD" w:rsidP="00066AAD">
      <w:pPr>
        <w:spacing w:line="480" w:lineRule="auto"/>
        <w:ind w:firstLine="720"/>
        <w:jc w:val="both"/>
        <w:rPr>
          <w:rFonts w:ascii="Times New Roman" w:hAnsi="Times New Roman"/>
        </w:rPr>
      </w:pPr>
      <w:proofErr w:type="gramStart"/>
      <w:r w:rsidRPr="00DE76B5">
        <w:rPr>
          <w:rFonts w:ascii="Times New Roman" w:hAnsi="Times New Roman"/>
        </w:rPr>
        <w:t xml:space="preserve">Respectfully submitted, this the </w:t>
      </w:r>
      <w:r>
        <w:rPr>
          <w:rFonts w:ascii="Times New Roman" w:hAnsi="Times New Roman"/>
        </w:rPr>
        <w:t>____</w:t>
      </w:r>
      <w:r w:rsidRPr="00DE76B5">
        <w:rPr>
          <w:rFonts w:ascii="Times New Roman" w:hAnsi="Times New Roman"/>
        </w:rPr>
        <w:t xml:space="preserve"> day of </w:t>
      </w:r>
      <w:r>
        <w:rPr>
          <w:rFonts w:ascii="Times New Roman" w:hAnsi="Times New Roman"/>
        </w:rPr>
        <w:t>_________________, 2017.</w:t>
      </w:r>
      <w:proofErr w:type="gramEnd"/>
      <w:r>
        <w:rPr>
          <w:rFonts w:ascii="Times New Roman" w:hAnsi="Times New Roman"/>
        </w:rPr>
        <w:t xml:space="preserve"> </w:t>
      </w:r>
    </w:p>
    <w:p w:rsidR="00066AAD" w:rsidRPr="00DE76B5" w:rsidRDefault="00066AAD" w:rsidP="00066AAD">
      <w:pPr>
        <w:spacing w:line="480" w:lineRule="auto"/>
        <w:ind w:firstLine="720"/>
        <w:jc w:val="both"/>
        <w:rPr>
          <w:rFonts w:ascii="Times New Roman" w:hAnsi="Times New Roman"/>
        </w:rPr>
      </w:pPr>
    </w:p>
    <w:p w:rsidR="00066AAD" w:rsidRPr="00DE76B5" w:rsidRDefault="00066AAD" w:rsidP="00066AAD">
      <w:pPr>
        <w:ind w:left="3990" w:firstLine="720"/>
        <w:rPr>
          <w:rFonts w:ascii="Times New Roman" w:hAnsi="Times New Roman"/>
        </w:rPr>
      </w:pPr>
      <w:r w:rsidRPr="00DE76B5">
        <w:rPr>
          <w:rFonts w:ascii="Times New Roman" w:hAnsi="Times New Roman"/>
        </w:rPr>
        <w:t>_____________________________</w:t>
      </w:r>
    </w:p>
    <w:p w:rsidR="00066AAD" w:rsidRDefault="00066AAD" w:rsidP="00066AAD">
      <w:pPr>
        <w:ind w:left="4710"/>
        <w:rPr>
          <w:rFonts w:ascii="Times New Roman" w:hAnsi="Times New Roman"/>
        </w:rPr>
      </w:pPr>
      <w:r w:rsidRPr="00DE76B5">
        <w:rPr>
          <w:rFonts w:ascii="Times New Roman" w:hAnsi="Times New Roman"/>
        </w:rPr>
        <w:t>Hannah Autry</w:t>
      </w:r>
      <w:r>
        <w:rPr>
          <w:rFonts w:ascii="Times New Roman" w:hAnsi="Times New Roman"/>
        </w:rPr>
        <w:br/>
      </w:r>
      <w:r w:rsidRPr="00DE76B5">
        <w:rPr>
          <w:rFonts w:ascii="Times New Roman" w:hAnsi="Times New Roman"/>
        </w:rPr>
        <w:t>Staff Attorney</w:t>
      </w:r>
    </w:p>
    <w:p w:rsidR="00066AAD" w:rsidRDefault="00066AAD" w:rsidP="00066AAD">
      <w:pPr>
        <w:ind w:left="4710"/>
        <w:rPr>
          <w:rFonts w:ascii="Times New Roman" w:hAnsi="Times New Roman"/>
        </w:rPr>
      </w:pPr>
      <w:r w:rsidRPr="00DE76B5">
        <w:rPr>
          <w:rFonts w:ascii="Times New Roman" w:hAnsi="Times New Roman"/>
        </w:rPr>
        <w:t>Center for Death Penalty Litigation</w:t>
      </w:r>
    </w:p>
    <w:p w:rsidR="00066AAD" w:rsidRDefault="00066AAD" w:rsidP="00066AAD">
      <w:pPr>
        <w:ind w:left="4710"/>
        <w:rPr>
          <w:rFonts w:ascii="Times New Roman" w:hAnsi="Times New Roman"/>
        </w:rPr>
      </w:pPr>
      <w:r w:rsidRPr="00DE76B5">
        <w:rPr>
          <w:rFonts w:ascii="Times New Roman" w:hAnsi="Times New Roman"/>
        </w:rPr>
        <w:t>123 W. Main St., Suite 700</w:t>
      </w:r>
    </w:p>
    <w:p w:rsidR="00066AAD" w:rsidRDefault="00066AAD" w:rsidP="00066AAD">
      <w:pPr>
        <w:ind w:left="4710"/>
        <w:rPr>
          <w:rFonts w:ascii="Times New Roman" w:hAnsi="Times New Roman"/>
        </w:rPr>
      </w:pPr>
      <w:r>
        <w:rPr>
          <w:rFonts w:ascii="Times New Roman" w:hAnsi="Times New Roman"/>
        </w:rPr>
        <w:t>Durham, NC 27701</w:t>
      </w:r>
      <w:r>
        <w:rPr>
          <w:rFonts w:ascii="Times New Roman" w:hAnsi="Times New Roman"/>
        </w:rPr>
        <w:br/>
      </w:r>
      <w:r w:rsidRPr="00DE76B5">
        <w:rPr>
          <w:rFonts w:ascii="Times New Roman" w:hAnsi="Times New Roman"/>
        </w:rPr>
        <w:t>(919) 956-9545, ext. 126</w:t>
      </w:r>
    </w:p>
    <w:p w:rsidR="00066AAD" w:rsidRPr="00066AAD" w:rsidRDefault="00066AAD" w:rsidP="00066AAD">
      <w:pPr>
        <w:ind w:left="3990" w:firstLine="720"/>
        <w:rPr>
          <w:rFonts w:ascii="Times New Roman" w:hAnsi="Times New Roman"/>
          <w:sz w:val="28"/>
        </w:rPr>
      </w:pPr>
      <w:r w:rsidRPr="00DE76B5">
        <w:rPr>
          <w:rFonts w:ascii="Times New Roman" w:hAnsi="Times New Roman"/>
          <w:szCs w:val="22"/>
        </w:rPr>
        <w:t>Counsel for Defendan</w:t>
      </w:r>
      <w:r>
        <w:rPr>
          <w:rFonts w:ascii="Times New Roman" w:hAnsi="Times New Roman"/>
          <w:szCs w:val="22"/>
        </w:rPr>
        <w:t>t</w:t>
      </w:r>
    </w:p>
    <w:p w:rsidR="00C91335" w:rsidRDefault="00C91335" w:rsidP="00066AAD">
      <w:pPr>
        <w:tabs>
          <w:tab w:val="left" w:pos="-720"/>
        </w:tabs>
        <w:suppressAutoHyphens/>
        <w:jc w:val="center"/>
        <w:rPr>
          <w:rFonts w:ascii="Times New Roman" w:hAnsi="Times New Roman"/>
          <w:b/>
        </w:rPr>
      </w:pPr>
    </w:p>
    <w:p w:rsidR="00C91335" w:rsidRDefault="00C91335" w:rsidP="00066AAD">
      <w:pPr>
        <w:tabs>
          <w:tab w:val="left" w:pos="-720"/>
        </w:tabs>
        <w:suppressAutoHyphens/>
        <w:jc w:val="center"/>
        <w:rPr>
          <w:rFonts w:ascii="Times New Roman" w:hAnsi="Times New Roman"/>
          <w:b/>
        </w:rPr>
      </w:pPr>
    </w:p>
    <w:p w:rsidR="00C91335" w:rsidRDefault="00C91335" w:rsidP="00066AAD">
      <w:pPr>
        <w:tabs>
          <w:tab w:val="left" w:pos="-720"/>
        </w:tabs>
        <w:suppressAutoHyphens/>
        <w:jc w:val="center"/>
        <w:rPr>
          <w:rFonts w:ascii="Times New Roman" w:hAnsi="Times New Roman"/>
          <w:b/>
        </w:rPr>
      </w:pPr>
    </w:p>
    <w:p w:rsidR="00C91335" w:rsidRDefault="00C91335" w:rsidP="009C63E4">
      <w:pPr>
        <w:tabs>
          <w:tab w:val="left" w:pos="-720"/>
        </w:tabs>
        <w:suppressAutoHyphens/>
        <w:rPr>
          <w:rFonts w:ascii="Times New Roman" w:hAnsi="Times New Roman"/>
          <w:b/>
        </w:rPr>
      </w:pPr>
    </w:p>
    <w:p w:rsidR="009C63E4" w:rsidRDefault="009C63E4" w:rsidP="009C63E4">
      <w:pPr>
        <w:tabs>
          <w:tab w:val="left" w:pos="-720"/>
        </w:tabs>
        <w:suppressAutoHyphens/>
        <w:rPr>
          <w:rFonts w:ascii="Times New Roman" w:hAnsi="Times New Roman"/>
          <w:b/>
        </w:rPr>
      </w:pPr>
    </w:p>
    <w:p w:rsidR="00C91335" w:rsidRDefault="00C91335" w:rsidP="00066AAD">
      <w:pPr>
        <w:tabs>
          <w:tab w:val="left" w:pos="-720"/>
        </w:tabs>
        <w:suppressAutoHyphens/>
        <w:jc w:val="center"/>
        <w:rPr>
          <w:rFonts w:ascii="Times New Roman" w:hAnsi="Times New Roman"/>
          <w:b/>
        </w:rPr>
      </w:pPr>
    </w:p>
    <w:p w:rsidR="00066AAD" w:rsidRPr="00DE76B5" w:rsidRDefault="00066AAD" w:rsidP="00C91335">
      <w:pPr>
        <w:tabs>
          <w:tab w:val="left" w:pos="-720"/>
        </w:tabs>
        <w:suppressAutoHyphens/>
        <w:jc w:val="center"/>
        <w:rPr>
          <w:rFonts w:ascii="Times New Roman" w:hAnsi="Times New Roman"/>
          <w:b/>
        </w:rPr>
      </w:pPr>
      <w:r w:rsidRPr="00DE76B5">
        <w:rPr>
          <w:rFonts w:ascii="Times New Roman" w:hAnsi="Times New Roman"/>
          <w:b/>
        </w:rPr>
        <w:t>CERTIFICATE OF SERVICE</w:t>
      </w:r>
    </w:p>
    <w:p w:rsidR="00066AAD" w:rsidRPr="00DE76B5" w:rsidRDefault="00066AAD" w:rsidP="00066AAD">
      <w:pPr>
        <w:tabs>
          <w:tab w:val="left" w:pos="-720"/>
        </w:tabs>
        <w:suppressAutoHyphens/>
        <w:jc w:val="both"/>
        <w:rPr>
          <w:rFonts w:ascii="Times New Roman" w:hAnsi="Times New Roman"/>
        </w:rPr>
      </w:pPr>
    </w:p>
    <w:p w:rsidR="00066AAD" w:rsidRPr="00DE76B5" w:rsidRDefault="00066AAD" w:rsidP="00066AAD">
      <w:pPr>
        <w:ind w:firstLine="720"/>
        <w:rPr>
          <w:rFonts w:ascii="Times New Roman" w:hAnsi="Times New Roman"/>
        </w:rPr>
      </w:pPr>
      <w:r w:rsidRPr="00DE76B5">
        <w:rPr>
          <w:rFonts w:ascii="Times New Roman" w:hAnsi="Times New Roman"/>
        </w:rPr>
        <w:tab/>
        <w:t>THIS IS TO CERTIFY that the undersigned attorney served a copy of the foregoing Motion on the State of North Carolina by hand delivery:</w:t>
      </w:r>
    </w:p>
    <w:p w:rsidR="00066AAD" w:rsidRPr="00DE76B5" w:rsidRDefault="00066AAD" w:rsidP="00066AAD">
      <w:pPr>
        <w:ind w:firstLine="720"/>
        <w:rPr>
          <w:rFonts w:ascii="Times New Roman" w:hAnsi="Times New Roman"/>
        </w:rPr>
      </w:pPr>
    </w:p>
    <w:p w:rsidR="00066AAD" w:rsidRPr="00DE76B5" w:rsidRDefault="00066AAD" w:rsidP="00066AAD">
      <w:pPr>
        <w:ind w:firstLine="720"/>
        <w:rPr>
          <w:rFonts w:ascii="Times New Roman" w:hAnsi="Times New Roman"/>
        </w:rPr>
      </w:pPr>
      <w:r w:rsidRPr="00DE76B5">
        <w:rPr>
          <w:rFonts w:ascii="Times New Roman" w:hAnsi="Times New Roman"/>
        </w:rPr>
        <w:t xml:space="preserve">Assistant District Attorney James P. Dornfried </w:t>
      </w:r>
    </w:p>
    <w:p w:rsidR="00066AAD" w:rsidRPr="00DE76B5" w:rsidRDefault="00066AAD" w:rsidP="00066AAD">
      <w:pPr>
        <w:ind w:firstLine="720"/>
        <w:rPr>
          <w:rFonts w:ascii="Times New Roman" w:hAnsi="Times New Roman"/>
        </w:rPr>
      </w:pPr>
      <w:r w:rsidRPr="00DE76B5">
        <w:rPr>
          <w:rFonts w:ascii="Times New Roman" w:hAnsi="Times New Roman"/>
        </w:rPr>
        <w:t>Durham County District Attorney’s Office</w:t>
      </w:r>
    </w:p>
    <w:p w:rsidR="00066AAD" w:rsidRPr="00DE76B5" w:rsidRDefault="00066AAD" w:rsidP="00066AAD">
      <w:pPr>
        <w:ind w:firstLine="720"/>
        <w:rPr>
          <w:rFonts w:ascii="Times New Roman" w:hAnsi="Times New Roman"/>
        </w:rPr>
      </w:pPr>
      <w:r w:rsidRPr="00DE76B5">
        <w:rPr>
          <w:rFonts w:ascii="Times New Roman" w:hAnsi="Times New Roman"/>
        </w:rPr>
        <w:t>501 South Dillard St., 8</w:t>
      </w:r>
      <w:r w:rsidRPr="00DE76B5">
        <w:rPr>
          <w:rFonts w:ascii="Times New Roman" w:hAnsi="Times New Roman"/>
          <w:vertAlign w:val="superscript"/>
        </w:rPr>
        <w:t>th</w:t>
      </w:r>
      <w:r w:rsidRPr="00DE76B5">
        <w:rPr>
          <w:rFonts w:ascii="Times New Roman" w:hAnsi="Times New Roman"/>
        </w:rPr>
        <w:t xml:space="preserve"> Floor</w:t>
      </w:r>
    </w:p>
    <w:p w:rsidR="00066AAD" w:rsidRDefault="00066AAD" w:rsidP="00066AAD">
      <w:pPr>
        <w:ind w:firstLine="720"/>
        <w:rPr>
          <w:rFonts w:ascii="Times New Roman" w:hAnsi="Times New Roman"/>
        </w:rPr>
      </w:pPr>
      <w:r w:rsidRPr="00DE76B5">
        <w:rPr>
          <w:rFonts w:ascii="Times New Roman" w:hAnsi="Times New Roman"/>
        </w:rPr>
        <w:t>Durham, NC 27701</w:t>
      </w:r>
    </w:p>
    <w:p w:rsidR="006D7881" w:rsidRDefault="006D7881" w:rsidP="00066AAD">
      <w:pPr>
        <w:ind w:firstLine="720"/>
        <w:rPr>
          <w:rFonts w:ascii="Times New Roman" w:hAnsi="Times New Roman"/>
        </w:rPr>
      </w:pPr>
    </w:p>
    <w:p w:rsidR="006D7881" w:rsidRPr="006D7881" w:rsidRDefault="006D7881" w:rsidP="006D7881">
      <w:pPr>
        <w:rPr>
          <w:rFonts w:ascii="Times New Roman" w:hAnsi="Times New Roman"/>
        </w:rPr>
      </w:pPr>
      <w:r w:rsidRPr="006D7881">
        <w:rPr>
          <w:rFonts w:ascii="Times New Roman" w:hAnsi="Times New Roman"/>
        </w:rPr>
        <w:t>By first-class mail to:</w:t>
      </w:r>
    </w:p>
    <w:p w:rsidR="006D7881" w:rsidRPr="006D7881" w:rsidRDefault="006D7881" w:rsidP="006D7881">
      <w:pPr>
        <w:ind w:firstLine="720"/>
        <w:rPr>
          <w:rFonts w:ascii="Times New Roman" w:hAnsi="Times New Roman"/>
        </w:rPr>
      </w:pPr>
    </w:p>
    <w:p w:rsidR="006D7881" w:rsidRPr="006D7881" w:rsidRDefault="006D7881" w:rsidP="006D7881">
      <w:pPr>
        <w:ind w:left="720"/>
        <w:rPr>
          <w:rFonts w:ascii="Times New Roman" w:hAnsi="Times New Roman"/>
        </w:rPr>
      </w:pPr>
      <w:r w:rsidRPr="006D7881">
        <w:rPr>
          <w:rFonts w:ascii="Times New Roman" w:hAnsi="Times New Roman"/>
        </w:rPr>
        <w:t>Attorney Daniel Meier</w:t>
      </w:r>
      <w:r w:rsidRPr="006D7881">
        <w:rPr>
          <w:rFonts w:ascii="Times New Roman" w:hAnsi="Times New Roman"/>
        </w:rPr>
        <w:br/>
        <w:t>Attorney for Defendant Thomas Clayton</w:t>
      </w:r>
      <w:r w:rsidRPr="006D7881">
        <w:rPr>
          <w:rFonts w:ascii="Times New Roman" w:hAnsi="Times New Roman"/>
        </w:rPr>
        <w:br/>
        <w:t>100 E. Parish Street</w:t>
      </w:r>
      <w:r w:rsidRPr="006D7881">
        <w:rPr>
          <w:rFonts w:ascii="Times New Roman" w:hAnsi="Times New Roman"/>
        </w:rPr>
        <w:br/>
        <w:t>Durham, NC 27701</w:t>
      </w:r>
    </w:p>
    <w:p w:rsidR="006D7881" w:rsidRPr="006D7881" w:rsidRDefault="006D7881" w:rsidP="006D7881">
      <w:pPr>
        <w:ind w:firstLine="720"/>
        <w:rPr>
          <w:rFonts w:ascii="Times New Roman" w:hAnsi="Times New Roman"/>
        </w:rPr>
      </w:pPr>
      <w:r w:rsidRPr="006D7881">
        <w:rPr>
          <w:rFonts w:ascii="Times New Roman" w:hAnsi="Times New Roman"/>
        </w:rPr>
        <w:t xml:space="preserve">Courtesy copy via email to </w:t>
      </w:r>
      <w:hyperlink r:id="rId9" w:history="1">
        <w:r w:rsidRPr="006D7881">
          <w:rPr>
            <w:rStyle w:val="Hyperlink"/>
            <w:rFonts w:ascii="Times New Roman" w:hAnsi="Times New Roman"/>
          </w:rPr>
          <w:t>Daniel@meierlegal.com</w:t>
        </w:r>
      </w:hyperlink>
    </w:p>
    <w:p w:rsidR="006D7881" w:rsidRPr="006D7881" w:rsidRDefault="006D7881" w:rsidP="006D7881">
      <w:pPr>
        <w:rPr>
          <w:rFonts w:ascii="Times New Roman" w:hAnsi="Times New Roman"/>
        </w:rPr>
      </w:pPr>
    </w:p>
    <w:p w:rsidR="006D7881" w:rsidRPr="006D7881" w:rsidRDefault="001018E9" w:rsidP="006D7881">
      <w:pPr>
        <w:ind w:left="720"/>
        <w:rPr>
          <w:rFonts w:ascii="Times New Roman" w:hAnsi="Times New Roman"/>
        </w:rPr>
      </w:pPr>
      <w:r>
        <w:rPr>
          <w:rFonts w:ascii="Times New Roman" w:hAnsi="Times New Roman"/>
        </w:rPr>
        <w:t>Attorneys Butch Williams and</w:t>
      </w:r>
      <w:r w:rsidR="006D7881" w:rsidRPr="006D7881">
        <w:rPr>
          <w:rFonts w:ascii="Times New Roman" w:hAnsi="Times New Roman"/>
        </w:rPr>
        <w:t xml:space="preserve"> Jonathan Trapp</w:t>
      </w:r>
      <w:r w:rsidR="006D7881" w:rsidRPr="006D7881">
        <w:rPr>
          <w:rFonts w:ascii="Times New Roman" w:hAnsi="Times New Roman"/>
        </w:rPr>
        <w:br/>
        <w:t xml:space="preserve">Attorneys for Defendant </w:t>
      </w:r>
      <w:proofErr w:type="spellStart"/>
      <w:r w:rsidR="006D7881" w:rsidRPr="006D7881">
        <w:rPr>
          <w:rFonts w:ascii="Times New Roman" w:hAnsi="Times New Roman"/>
        </w:rPr>
        <w:t>Rakeem</w:t>
      </w:r>
      <w:proofErr w:type="spellEnd"/>
      <w:r w:rsidR="006D7881" w:rsidRPr="006D7881">
        <w:rPr>
          <w:rFonts w:ascii="Times New Roman" w:hAnsi="Times New Roman"/>
        </w:rPr>
        <w:t xml:space="preserve"> Best</w:t>
      </w:r>
      <w:r w:rsidR="006D7881" w:rsidRPr="006D7881">
        <w:rPr>
          <w:rFonts w:ascii="Times New Roman" w:hAnsi="Times New Roman"/>
        </w:rPr>
        <w:br/>
        <w:t xml:space="preserve">3200 </w:t>
      </w:r>
      <w:proofErr w:type="spellStart"/>
      <w:r w:rsidR="006D7881" w:rsidRPr="006D7881">
        <w:rPr>
          <w:rFonts w:ascii="Times New Roman" w:hAnsi="Times New Roman"/>
        </w:rPr>
        <w:t>Croasdaile</w:t>
      </w:r>
      <w:proofErr w:type="spellEnd"/>
      <w:r w:rsidR="006D7881" w:rsidRPr="006D7881">
        <w:rPr>
          <w:rFonts w:ascii="Times New Roman" w:hAnsi="Times New Roman"/>
        </w:rPr>
        <w:t xml:space="preserve"> Drive, Suite 604</w:t>
      </w:r>
      <w:r w:rsidR="006D7881" w:rsidRPr="006D7881">
        <w:rPr>
          <w:rFonts w:ascii="Times New Roman" w:hAnsi="Times New Roman"/>
        </w:rPr>
        <w:br/>
        <w:t>Durham, NC 27705</w:t>
      </w:r>
    </w:p>
    <w:p w:rsidR="006D7881" w:rsidRDefault="006D7881" w:rsidP="006D7881">
      <w:pPr>
        <w:ind w:firstLine="720"/>
      </w:pPr>
      <w:r w:rsidRPr="006D7881">
        <w:rPr>
          <w:rFonts w:ascii="Times New Roman" w:hAnsi="Times New Roman"/>
        </w:rPr>
        <w:t xml:space="preserve">Courtesy copy via email to </w:t>
      </w:r>
      <w:hyperlink r:id="rId10" w:history="1">
        <w:r w:rsidRPr="006D7881">
          <w:rPr>
            <w:rStyle w:val="Hyperlink"/>
            <w:rFonts w:ascii="Times New Roman" w:hAnsi="Times New Roman"/>
          </w:rPr>
          <w:t>jonathanwtrapp@gmail.com</w:t>
        </w:r>
      </w:hyperlink>
    </w:p>
    <w:p w:rsidR="001018E9" w:rsidRDefault="001018E9" w:rsidP="006D7881">
      <w:pPr>
        <w:ind w:firstLine="720"/>
      </w:pPr>
    </w:p>
    <w:p w:rsidR="00AD7A20" w:rsidRDefault="001018E9" w:rsidP="001018E9">
      <w:pPr>
        <w:ind w:left="720"/>
        <w:rPr>
          <w:rFonts w:ascii="Times New Roman" w:hAnsi="Times New Roman"/>
        </w:rPr>
      </w:pPr>
      <w:r>
        <w:rPr>
          <w:rFonts w:ascii="Times New Roman" w:hAnsi="Times New Roman"/>
        </w:rPr>
        <w:t>Attorney Jonathan Wilson II</w:t>
      </w:r>
    </w:p>
    <w:p w:rsidR="00AD7A20" w:rsidRPr="00AD7A20" w:rsidRDefault="00AD7A20" w:rsidP="00AD7A20">
      <w:pPr>
        <w:ind w:left="720"/>
        <w:rPr>
          <w:rFonts w:ascii="Times New Roman" w:hAnsi="Times New Roman"/>
        </w:rPr>
      </w:pPr>
      <w:r>
        <w:rPr>
          <w:rFonts w:ascii="Times New Roman" w:hAnsi="Times New Roman"/>
        </w:rPr>
        <w:t xml:space="preserve">Attorney for Defendant </w:t>
      </w:r>
      <w:proofErr w:type="spellStart"/>
      <w:r>
        <w:rPr>
          <w:rFonts w:ascii="Times New Roman" w:hAnsi="Times New Roman"/>
        </w:rPr>
        <w:t>Rakeem</w:t>
      </w:r>
      <w:proofErr w:type="spellEnd"/>
      <w:r>
        <w:rPr>
          <w:rFonts w:ascii="Times New Roman" w:hAnsi="Times New Roman"/>
        </w:rPr>
        <w:t xml:space="preserve"> Best</w:t>
      </w:r>
      <w:r>
        <w:rPr>
          <w:rFonts w:ascii="Times New Roman" w:hAnsi="Times New Roman"/>
        </w:rPr>
        <w:br/>
      </w:r>
      <w:r w:rsidRPr="00AD7A20">
        <w:rPr>
          <w:rFonts w:ascii="Times New Roman" w:hAnsi="Times New Roman"/>
        </w:rPr>
        <w:t>P.O. Box 14841</w:t>
      </w:r>
    </w:p>
    <w:p w:rsidR="001018E9" w:rsidRDefault="00AD7A20" w:rsidP="00AD7A20">
      <w:pPr>
        <w:ind w:left="720"/>
        <w:rPr>
          <w:rFonts w:ascii="Times New Roman" w:hAnsi="Times New Roman"/>
        </w:rPr>
      </w:pPr>
      <w:r w:rsidRPr="00AD7A20">
        <w:rPr>
          <w:rFonts w:ascii="Times New Roman" w:hAnsi="Times New Roman"/>
        </w:rPr>
        <w:t>Durham, NC 27709</w:t>
      </w:r>
      <w:r w:rsidR="001018E9">
        <w:rPr>
          <w:rFonts w:ascii="Times New Roman" w:hAnsi="Times New Roman"/>
        </w:rPr>
        <w:br/>
      </w:r>
      <w:r>
        <w:rPr>
          <w:rFonts w:ascii="Times New Roman" w:hAnsi="Times New Roman"/>
        </w:rPr>
        <w:t xml:space="preserve">Courtesy copy </w:t>
      </w:r>
      <w:r w:rsidR="001018E9">
        <w:rPr>
          <w:rFonts w:ascii="Times New Roman" w:hAnsi="Times New Roman"/>
        </w:rPr>
        <w:t xml:space="preserve">via email to </w:t>
      </w:r>
      <w:hyperlink r:id="rId11" w:history="1">
        <w:r w:rsidR="001018E9" w:rsidRPr="00B55ECC">
          <w:rPr>
            <w:rStyle w:val="Hyperlink"/>
            <w:rFonts w:ascii="Times New Roman" w:hAnsi="Times New Roman"/>
          </w:rPr>
          <w:t>wilson@jwilsonpllc.com</w:t>
        </w:r>
      </w:hyperlink>
    </w:p>
    <w:p w:rsidR="00066AAD" w:rsidRPr="00DE76B5" w:rsidRDefault="00066AAD" w:rsidP="00C91335">
      <w:pPr>
        <w:ind w:left="720"/>
        <w:rPr>
          <w:rFonts w:ascii="Times New Roman" w:hAnsi="Times New Roman"/>
        </w:rPr>
      </w:pPr>
    </w:p>
    <w:p w:rsidR="00066AAD" w:rsidRPr="00DE76B5" w:rsidRDefault="00066AAD" w:rsidP="00066AAD">
      <w:pPr>
        <w:rPr>
          <w:rFonts w:ascii="Times New Roman" w:hAnsi="Times New Roman"/>
        </w:rPr>
      </w:pPr>
    </w:p>
    <w:p w:rsidR="00066AAD" w:rsidRPr="00DE76B5" w:rsidRDefault="00066AAD" w:rsidP="00066AAD">
      <w:pPr>
        <w:rPr>
          <w:rFonts w:ascii="Times New Roman" w:hAnsi="Times New Roman"/>
        </w:rPr>
      </w:pPr>
      <w:proofErr w:type="gramStart"/>
      <w:r w:rsidRPr="00DE76B5">
        <w:rPr>
          <w:rFonts w:ascii="Times New Roman" w:hAnsi="Times New Roman"/>
        </w:rPr>
        <w:t>This, the ____ day of ______________, 2017.</w:t>
      </w:r>
      <w:proofErr w:type="gramEnd"/>
      <w:r w:rsidRPr="00DE76B5">
        <w:rPr>
          <w:rFonts w:ascii="Times New Roman" w:hAnsi="Times New Roman"/>
        </w:rPr>
        <w:t xml:space="preserve"> </w:t>
      </w:r>
    </w:p>
    <w:p w:rsidR="00066AAD" w:rsidRPr="00DE76B5" w:rsidRDefault="00066AAD" w:rsidP="00066AAD">
      <w:pPr>
        <w:rPr>
          <w:rFonts w:ascii="Times New Roman" w:hAnsi="Times New Roman"/>
        </w:rPr>
      </w:pPr>
    </w:p>
    <w:p w:rsidR="00066AAD" w:rsidRPr="00DE76B5" w:rsidRDefault="00066AAD" w:rsidP="00066AAD">
      <w:pPr>
        <w:rPr>
          <w:rFonts w:ascii="Times New Roman" w:hAnsi="Times New Roman"/>
        </w:rPr>
      </w:pPr>
    </w:p>
    <w:p w:rsidR="00066AAD" w:rsidRPr="00DE76B5" w:rsidRDefault="00066AAD" w:rsidP="00066AAD">
      <w:pPr>
        <w:rPr>
          <w:rFonts w:ascii="Times New Roman" w:hAnsi="Times New Roman"/>
        </w:rPr>
      </w:pPr>
    </w:p>
    <w:p w:rsidR="00066AAD" w:rsidRPr="00DE76B5" w:rsidRDefault="00066AAD" w:rsidP="00066AAD">
      <w:pPr>
        <w:ind w:firstLine="5040"/>
        <w:rPr>
          <w:rFonts w:ascii="Times New Roman" w:hAnsi="Times New Roman"/>
        </w:rPr>
      </w:pPr>
      <w:r w:rsidRPr="00DE76B5">
        <w:rPr>
          <w:rFonts w:ascii="Times New Roman" w:hAnsi="Times New Roman"/>
        </w:rPr>
        <w:t>______________________________</w:t>
      </w:r>
    </w:p>
    <w:p w:rsidR="00066AAD" w:rsidRPr="00DE76B5" w:rsidRDefault="00066AAD" w:rsidP="00066AAD">
      <w:pPr>
        <w:ind w:left="3600" w:firstLine="720"/>
        <w:rPr>
          <w:rFonts w:ascii="Times New Roman" w:hAnsi="Times New Roman"/>
        </w:rPr>
      </w:pPr>
      <w:r w:rsidRPr="00DE76B5">
        <w:rPr>
          <w:rFonts w:ascii="Times New Roman" w:hAnsi="Times New Roman"/>
        </w:rPr>
        <w:tab/>
        <w:t>Hannah Autry</w:t>
      </w:r>
    </w:p>
    <w:p w:rsidR="00066AAD" w:rsidRPr="00DE76B5" w:rsidRDefault="00066AAD" w:rsidP="00066AAD">
      <w:pPr>
        <w:ind w:left="4320" w:firstLine="720"/>
        <w:jc w:val="both"/>
        <w:rPr>
          <w:rFonts w:ascii="Times New Roman" w:hAnsi="Times New Roman"/>
        </w:rPr>
      </w:pPr>
      <w:r w:rsidRPr="00DE76B5">
        <w:rPr>
          <w:rFonts w:ascii="Times New Roman" w:hAnsi="Times New Roman"/>
        </w:rPr>
        <w:t>Staff Attorney</w:t>
      </w:r>
    </w:p>
    <w:p w:rsidR="00066AAD" w:rsidRPr="00DE76B5" w:rsidRDefault="00066AAD" w:rsidP="00066AAD">
      <w:pPr>
        <w:ind w:left="720"/>
        <w:jc w:val="both"/>
        <w:rPr>
          <w:rFonts w:ascii="Times New Roman" w:hAnsi="Times New Roman"/>
        </w:rPr>
      </w:pP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t>Center for Death Penalty Litigation</w:t>
      </w:r>
    </w:p>
    <w:p w:rsidR="00066AAD" w:rsidRPr="00DE76B5" w:rsidRDefault="00066AAD" w:rsidP="00066AAD">
      <w:pPr>
        <w:ind w:left="720"/>
        <w:jc w:val="both"/>
        <w:rPr>
          <w:rFonts w:ascii="Times New Roman" w:hAnsi="Times New Roman"/>
        </w:rPr>
      </w:pP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t>123 W. Main Street, Suite 700</w:t>
      </w:r>
    </w:p>
    <w:p w:rsidR="00066AAD" w:rsidRPr="00DE76B5" w:rsidRDefault="00066AAD" w:rsidP="00066AAD">
      <w:pPr>
        <w:ind w:left="720"/>
        <w:jc w:val="both"/>
        <w:rPr>
          <w:rFonts w:ascii="Times New Roman" w:hAnsi="Times New Roman"/>
        </w:rPr>
      </w:pP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t>Durham, NC 27701</w:t>
      </w:r>
    </w:p>
    <w:p w:rsidR="00332C39" w:rsidRDefault="00066AAD" w:rsidP="00E720C9">
      <w:pPr>
        <w:ind w:left="720"/>
        <w:jc w:val="both"/>
      </w:pP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r>
      <w:r w:rsidRPr="00DE76B5">
        <w:rPr>
          <w:rFonts w:ascii="Times New Roman" w:hAnsi="Times New Roman"/>
        </w:rPr>
        <w:tab/>
        <w:t>(919) 956-9545, ext. 126</w:t>
      </w:r>
    </w:p>
    <w:sectPr w:rsidR="00332C39" w:rsidSect="00332C39">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DEE" w:rsidRDefault="00846DEE" w:rsidP="00A93CC5">
      <w:r>
        <w:separator/>
      </w:r>
    </w:p>
  </w:endnote>
  <w:endnote w:type="continuationSeparator" w:id="0">
    <w:p w:rsidR="00846DEE" w:rsidRDefault="00846DEE" w:rsidP="00A93CC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806260472"/>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846DEE" w:rsidRPr="00A93CC5" w:rsidRDefault="00846DEE">
            <w:pPr>
              <w:pStyle w:val="Footer"/>
              <w:jc w:val="center"/>
              <w:rPr>
                <w:rFonts w:ascii="Times New Roman" w:hAnsi="Times New Roman"/>
              </w:rPr>
            </w:pPr>
            <w:r w:rsidRPr="00A93CC5">
              <w:rPr>
                <w:rFonts w:ascii="Times New Roman" w:hAnsi="Times New Roman"/>
              </w:rPr>
              <w:t xml:space="preserve">Page </w:t>
            </w:r>
            <w:r w:rsidRPr="00A93CC5">
              <w:rPr>
                <w:rFonts w:ascii="Times New Roman" w:hAnsi="Times New Roman"/>
                <w:b/>
              </w:rPr>
              <w:fldChar w:fldCharType="begin"/>
            </w:r>
            <w:r w:rsidRPr="00A93CC5">
              <w:rPr>
                <w:rFonts w:ascii="Times New Roman" w:hAnsi="Times New Roman"/>
                <w:b/>
              </w:rPr>
              <w:instrText xml:space="preserve"> PAGE </w:instrText>
            </w:r>
            <w:r w:rsidRPr="00A93CC5">
              <w:rPr>
                <w:rFonts w:ascii="Times New Roman" w:hAnsi="Times New Roman"/>
                <w:b/>
              </w:rPr>
              <w:fldChar w:fldCharType="separate"/>
            </w:r>
            <w:r w:rsidR="00CB5422">
              <w:rPr>
                <w:rFonts w:ascii="Times New Roman" w:hAnsi="Times New Roman"/>
                <w:b/>
                <w:noProof/>
              </w:rPr>
              <w:t>17</w:t>
            </w:r>
            <w:r w:rsidRPr="00A93CC5">
              <w:rPr>
                <w:rFonts w:ascii="Times New Roman" w:hAnsi="Times New Roman"/>
                <w:b/>
              </w:rPr>
              <w:fldChar w:fldCharType="end"/>
            </w:r>
            <w:r w:rsidRPr="00A93CC5">
              <w:rPr>
                <w:rFonts w:ascii="Times New Roman" w:hAnsi="Times New Roman"/>
              </w:rPr>
              <w:t xml:space="preserve"> of </w:t>
            </w:r>
            <w:r w:rsidRPr="00A93CC5">
              <w:rPr>
                <w:rFonts w:ascii="Times New Roman" w:hAnsi="Times New Roman"/>
                <w:b/>
              </w:rPr>
              <w:fldChar w:fldCharType="begin"/>
            </w:r>
            <w:r w:rsidRPr="00A93CC5">
              <w:rPr>
                <w:rFonts w:ascii="Times New Roman" w:hAnsi="Times New Roman"/>
                <w:b/>
              </w:rPr>
              <w:instrText xml:space="preserve"> NUMPAGES  </w:instrText>
            </w:r>
            <w:r w:rsidRPr="00A93CC5">
              <w:rPr>
                <w:rFonts w:ascii="Times New Roman" w:hAnsi="Times New Roman"/>
                <w:b/>
              </w:rPr>
              <w:fldChar w:fldCharType="separate"/>
            </w:r>
            <w:r w:rsidR="00CB5422">
              <w:rPr>
                <w:rFonts w:ascii="Times New Roman" w:hAnsi="Times New Roman"/>
                <w:b/>
                <w:noProof/>
              </w:rPr>
              <w:t>17</w:t>
            </w:r>
            <w:r w:rsidRPr="00A93CC5">
              <w:rPr>
                <w:rFonts w:ascii="Times New Roman" w:hAnsi="Times New Roman"/>
                <w:b/>
              </w:rPr>
              <w:fldChar w:fldCharType="end"/>
            </w:r>
          </w:p>
        </w:sdtContent>
      </w:sdt>
    </w:sdtContent>
  </w:sdt>
  <w:p w:rsidR="00846DEE" w:rsidRDefault="00846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DEE" w:rsidRDefault="00846DEE" w:rsidP="00A93CC5">
      <w:r>
        <w:separator/>
      </w:r>
    </w:p>
  </w:footnote>
  <w:footnote w:type="continuationSeparator" w:id="0">
    <w:p w:rsidR="00846DEE" w:rsidRDefault="00846DEE" w:rsidP="00A93CC5">
      <w:r>
        <w:continuationSeparator/>
      </w:r>
    </w:p>
  </w:footnote>
  <w:footnote w:id="1">
    <w:p w:rsidR="00846DEE" w:rsidRPr="00722EE2" w:rsidRDefault="00846DEE" w:rsidP="0008284E">
      <w:pPr>
        <w:pStyle w:val="FootnoteText"/>
        <w:rPr>
          <w:rFonts w:ascii="Times New Roman" w:hAnsi="Times New Roman" w:cs="Times New Roman"/>
        </w:rPr>
      </w:pPr>
      <w:r w:rsidRPr="00722EE2">
        <w:rPr>
          <w:rStyle w:val="FootnoteReference"/>
          <w:rFonts w:ascii="Times New Roman" w:hAnsi="Times New Roman" w:cs="Times New Roman"/>
        </w:rPr>
        <w:footnoteRef/>
      </w:r>
      <w:r w:rsidRPr="00722EE2">
        <w:rPr>
          <w:rFonts w:ascii="Times New Roman" w:hAnsi="Times New Roman" w:cs="Times New Roman"/>
        </w:rPr>
        <w:t xml:space="preserve"> I</w:t>
      </w:r>
      <w:r w:rsidRPr="00722EE2">
        <w:rPr>
          <w:rFonts w:ascii="Times New Roman" w:eastAsia="Times New Roman" w:hAnsi="Times New Roman" w:cs="Times New Roman"/>
        </w:rPr>
        <w:t>f no suspect has been identified, the examiner may compare the latent print to a computer-generated list of potentially similar reference prints housed in a database</w:t>
      </w:r>
      <w:r>
        <w:rPr>
          <w:rFonts w:ascii="Times New Roman" w:eastAsia="Times New Roman" w:hAnsi="Times New Roman" w:cs="Times New Roman"/>
        </w:rPr>
        <w:t xml:space="preserve"> of known fingerprints</w:t>
      </w:r>
      <w:r w:rsidRPr="00722EE2">
        <w:rPr>
          <w:rFonts w:ascii="Times New Roman" w:eastAsia="Times New Roman" w:hAnsi="Times New Roman" w:cs="Times New Roman"/>
        </w:rPr>
        <w:t xml:space="preserve">. </w:t>
      </w:r>
      <w:proofErr w:type="gramStart"/>
      <w:r w:rsidRPr="00722EE2">
        <w:rPr>
          <w:rFonts w:ascii="Times New Roman" w:eastAsia="Times New Roman" w:hAnsi="Times New Roman" w:cs="Times New Roman"/>
        </w:rPr>
        <w:t>PCAST Report at 89.</w:t>
      </w:r>
      <w:proofErr w:type="gramEnd"/>
    </w:p>
  </w:footnote>
  <w:footnote w:id="2">
    <w:p w:rsidR="00846DEE" w:rsidRDefault="00846DEE" w:rsidP="0044579B">
      <w:pPr>
        <w:ind w:firstLine="720"/>
        <w:rPr>
          <w:rFonts w:ascii="Times New Roman" w:hAnsi="Times New Roman"/>
        </w:rPr>
      </w:pPr>
      <w:r>
        <w:rPr>
          <w:rStyle w:val="FootnoteReference"/>
        </w:rPr>
        <w:footnoteRef/>
      </w:r>
      <w:r>
        <w:t xml:space="preserve"> </w:t>
      </w:r>
      <w:r w:rsidRPr="0044579B">
        <w:rPr>
          <w:rFonts w:ascii="Times New Roman" w:hAnsi="Times New Roman"/>
        </w:rPr>
        <w:t xml:space="preserve">This is precisely what happened in the “Mayfield case,” where Brandon Mayfield was falsely identified by FBI examiners using ACE-V as the source of latent prints on a bag of detonators linked with the 2004 Madrid train bombings. </w:t>
      </w:r>
      <w:proofErr w:type="gramStart"/>
      <w:r w:rsidRPr="0044579B">
        <w:rPr>
          <w:rFonts w:ascii="Times New Roman" w:hAnsi="Times New Roman"/>
        </w:rPr>
        <w:t xml:space="preserve">U.S. Dep’t of Justice, Office of the Inspector General, </w:t>
      </w:r>
      <w:r w:rsidRPr="0044579B">
        <w:rPr>
          <w:rFonts w:ascii="Times New Roman" w:hAnsi="Times New Roman"/>
          <w:i/>
        </w:rPr>
        <w:t xml:space="preserve">A Review of the FBI’s Handling of the Brandon Mayfield Case </w:t>
      </w:r>
      <w:r w:rsidRPr="0044579B">
        <w:rPr>
          <w:rFonts w:ascii="Times New Roman" w:hAnsi="Times New Roman"/>
        </w:rPr>
        <w:t>1 (2006) [hereinafter “OIG Report (2006)”].</w:t>
      </w:r>
      <w:proofErr w:type="gramEnd"/>
      <w:r w:rsidRPr="0044579B">
        <w:rPr>
          <w:rFonts w:ascii="Times New Roman" w:hAnsi="Times New Roman"/>
        </w:rPr>
        <w:t xml:space="preserve"> Indeed, </w:t>
      </w:r>
      <w:proofErr w:type="gramStart"/>
      <w:r w:rsidRPr="0044579B">
        <w:rPr>
          <w:rFonts w:ascii="Times New Roman" w:hAnsi="Times New Roman"/>
        </w:rPr>
        <w:t>an FBI examiner concluded with “100 percent certainty” based on ACE-V that the latent print and Mayfield’s exemplar – which was one of several prints identified as possible matches on a computer-generated list – were in agreement at 15 “points” of comparison and were</w:t>
      </w:r>
      <w:proofErr w:type="gramEnd"/>
      <w:r w:rsidRPr="0044579B">
        <w:rPr>
          <w:rFonts w:ascii="Times New Roman" w:hAnsi="Times New Roman"/>
        </w:rPr>
        <w:t xml:space="preserve"> therefore definitely a match. </w:t>
      </w:r>
      <w:r w:rsidRPr="0044579B">
        <w:rPr>
          <w:rFonts w:ascii="Times New Roman" w:hAnsi="Times New Roman"/>
          <w:i/>
        </w:rPr>
        <w:t>Id.</w:t>
      </w:r>
      <w:r w:rsidRPr="0044579B">
        <w:rPr>
          <w:rFonts w:ascii="Times New Roman" w:hAnsi="Times New Roman"/>
        </w:rPr>
        <w:t xml:space="preserve"> The alleged match was then “verified” by </w:t>
      </w:r>
      <w:r w:rsidRPr="0044579B">
        <w:rPr>
          <w:rFonts w:ascii="Times New Roman" w:hAnsi="Times New Roman"/>
          <w:i/>
        </w:rPr>
        <w:t>two</w:t>
      </w:r>
      <w:r w:rsidRPr="0044579B">
        <w:rPr>
          <w:rFonts w:ascii="Times New Roman" w:hAnsi="Times New Roman"/>
        </w:rPr>
        <w:t xml:space="preserve"> FBI supervisors </w:t>
      </w:r>
      <w:r w:rsidRPr="0044579B">
        <w:rPr>
          <w:rFonts w:ascii="Times New Roman" w:hAnsi="Times New Roman"/>
          <w:i/>
        </w:rPr>
        <w:t xml:space="preserve">and </w:t>
      </w:r>
      <w:r w:rsidRPr="0044579B">
        <w:rPr>
          <w:rFonts w:ascii="Times New Roman" w:hAnsi="Times New Roman"/>
        </w:rPr>
        <w:t xml:space="preserve">the same </w:t>
      </w:r>
      <w:proofErr w:type="gramStart"/>
      <w:r w:rsidRPr="0044579B">
        <w:rPr>
          <w:rFonts w:ascii="Times New Roman" w:hAnsi="Times New Roman"/>
        </w:rPr>
        <w:t>conclusions was</w:t>
      </w:r>
      <w:proofErr w:type="gramEnd"/>
      <w:r w:rsidRPr="0044579B">
        <w:rPr>
          <w:rFonts w:ascii="Times New Roman" w:hAnsi="Times New Roman"/>
        </w:rPr>
        <w:t xml:space="preserve"> subsequently reached by a court-appointed independent fingerprint examiner. </w:t>
      </w:r>
      <w:r w:rsidRPr="0044579B">
        <w:rPr>
          <w:rFonts w:ascii="Times New Roman" w:hAnsi="Times New Roman"/>
          <w:i/>
        </w:rPr>
        <w:t xml:space="preserve">See </w:t>
      </w:r>
      <w:r w:rsidRPr="0044579B">
        <w:rPr>
          <w:rFonts w:ascii="Times New Roman" w:hAnsi="Times New Roman"/>
        </w:rPr>
        <w:t>Cole (2005) at 986; OIG Report (2006) at 1-3.</w:t>
      </w:r>
      <w:r w:rsidRPr="0044579B">
        <w:rPr>
          <w:rFonts w:ascii="Times New Roman" w:hAnsi="Times New Roman"/>
          <w:i/>
        </w:rPr>
        <w:t xml:space="preserve"> </w:t>
      </w:r>
      <w:r w:rsidRPr="0044579B">
        <w:rPr>
          <w:rFonts w:ascii="Times New Roman" w:hAnsi="Times New Roman"/>
        </w:rPr>
        <w:t xml:space="preserve">Nonetheless, two weeks later, after Spanish authorities found the real perpetrator and confirmed that his prints were a better “match,” Mayfield was released from custody and cleared of all suspicion, with the FBI issuing an apology. </w:t>
      </w:r>
      <w:r w:rsidRPr="0044579B">
        <w:rPr>
          <w:rFonts w:ascii="Times New Roman" w:hAnsi="Times New Roman"/>
          <w:i/>
        </w:rPr>
        <w:t>Id.</w:t>
      </w:r>
      <w:r>
        <w:rPr>
          <w:rFonts w:ascii="Times New Roman" w:hAnsi="Times New Roman"/>
        </w:rPr>
        <w:t xml:space="preserve"> </w:t>
      </w:r>
    </w:p>
    <w:p w:rsidR="00846DEE" w:rsidRDefault="00846DEE">
      <w:pPr>
        <w:pStyle w:val="FootnoteText"/>
      </w:pPr>
      <w:r>
        <w:t xml:space="preserve"> </w:t>
      </w:r>
    </w:p>
  </w:footnote>
  <w:footnote w:id="3">
    <w:p w:rsidR="00846DEE" w:rsidRPr="00722EE2" w:rsidRDefault="00846DEE" w:rsidP="00AA6F52">
      <w:pPr>
        <w:pStyle w:val="FootnoteText"/>
        <w:rPr>
          <w:rFonts w:ascii="Times New Roman" w:hAnsi="Times New Roman" w:cs="Times New Roman"/>
        </w:rPr>
      </w:pPr>
      <w:r w:rsidRPr="00722EE2">
        <w:rPr>
          <w:rStyle w:val="FootnoteReference"/>
          <w:rFonts w:ascii="Times New Roman" w:hAnsi="Times New Roman" w:cs="Times New Roman"/>
        </w:rPr>
        <w:footnoteRef/>
      </w:r>
      <w:r w:rsidRPr="00722EE2">
        <w:rPr>
          <w:rFonts w:ascii="Times New Roman" w:hAnsi="Times New Roman" w:cs="Times New Roman"/>
        </w:rPr>
        <w:t xml:space="preserve"> A follow up study by the same authors several months later took 75 examiners and a subset of pairs from the first study and allowed some of the examiners to reexamine the pairs that led to false positives in the first study. Not surprisingly, there were no false positives reported this time around, although the reported upper bound of a 95% confidence interval would still be a false positive rate of 1 in 160. </w:t>
      </w:r>
      <w:r>
        <w:rPr>
          <w:rFonts w:ascii="Times New Roman" w:hAnsi="Times New Roman" w:cs="Times New Roman"/>
          <w:i/>
        </w:rPr>
        <w:t>Id</w:t>
      </w:r>
      <w:r w:rsidRPr="00722EE2">
        <w:rPr>
          <w:rFonts w:ascii="Times New Roman" w:hAnsi="Times New Roman" w:cs="Times New Roman"/>
        </w:rPr>
        <w:t>.</w:t>
      </w:r>
    </w:p>
  </w:footnote>
  <w:footnote w:id="4">
    <w:p w:rsidR="00846DEE" w:rsidRPr="00722EE2" w:rsidRDefault="00846DEE" w:rsidP="00430392">
      <w:pPr>
        <w:pStyle w:val="FootnoteText"/>
        <w:rPr>
          <w:rFonts w:ascii="Times New Roman" w:hAnsi="Times New Roman" w:cs="Times New Roman"/>
        </w:rPr>
      </w:pPr>
      <w:r w:rsidRPr="00722EE2">
        <w:rPr>
          <w:rStyle w:val="FootnoteReference"/>
          <w:rFonts w:ascii="Times New Roman" w:hAnsi="Times New Roman" w:cs="Times New Roman"/>
        </w:rPr>
        <w:footnoteRef/>
      </w:r>
      <w:r w:rsidRPr="00722EE2">
        <w:rPr>
          <w:rFonts w:ascii="Times New Roman" w:hAnsi="Times New Roman" w:cs="Times New Roman"/>
        </w:rPr>
        <w:t xml:space="preserve"> “Rigorous profi</w:t>
      </w:r>
      <w:r>
        <w:rPr>
          <w:rFonts w:ascii="Times New Roman" w:hAnsi="Times New Roman" w:cs="Times New Roman"/>
        </w:rPr>
        <w:t>ci</w:t>
      </w:r>
      <w:r w:rsidRPr="00722EE2">
        <w:rPr>
          <w:rFonts w:ascii="Times New Roman" w:hAnsi="Times New Roman" w:cs="Times New Roman"/>
        </w:rPr>
        <w:t xml:space="preserve">ency testing” includes, </w:t>
      </w:r>
      <w:r w:rsidRPr="00722EE2">
        <w:rPr>
          <w:rFonts w:ascii="Times New Roman" w:hAnsi="Times New Roman" w:cs="Times New Roman"/>
          <w:i/>
        </w:rPr>
        <w:t>inter alia</w:t>
      </w:r>
      <w:r w:rsidRPr="00722EE2">
        <w:rPr>
          <w:rFonts w:ascii="Times New Roman" w:hAnsi="Times New Roman" w:cs="Times New Roman"/>
        </w:rPr>
        <w:t>, double blind proficiency testing on samples that represent the full range of latent prints encountered in casework and broad disclosure of profi</w:t>
      </w:r>
      <w:r>
        <w:rPr>
          <w:rFonts w:ascii="Times New Roman" w:hAnsi="Times New Roman" w:cs="Times New Roman"/>
        </w:rPr>
        <w:t>ci</w:t>
      </w:r>
      <w:r w:rsidRPr="00722EE2">
        <w:rPr>
          <w:rFonts w:ascii="Times New Roman" w:hAnsi="Times New Roman" w:cs="Times New Roman"/>
        </w:rPr>
        <w:t xml:space="preserve">ency tests to the scientific community for evaluation of the tests. </w:t>
      </w:r>
      <w:r w:rsidRPr="00722EE2">
        <w:rPr>
          <w:rFonts w:ascii="Times New Roman" w:hAnsi="Times New Roman" w:cs="Times New Roman"/>
          <w:i/>
        </w:rPr>
        <w:t>See id</w:t>
      </w:r>
      <w:r w:rsidRPr="00722EE2">
        <w:rPr>
          <w:rFonts w:ascii="Times New Roman" w:hAnsi="Times New Roman" w:cs="Times New Roman"/>
        </w:rPr>
        <w:t xml:space="preserve">. </w:t>
      </w:r>
      <w:proofErr w:type="gramStart"/>
      <w:r w:rsidRPr="00722EE2">
        <w:rPr>
          <w:rFonts w:ascii="Times New Roman" w:hAnsi="Times New Roman" w:cs="Times New Roman"/>
        </w:rPr>
        <w:t>at</w:t>
      </w:r>
      <w:proofErr w:type="gramEnd"/>
      <w:r w:rsidRPr="00722EE2">
        <w:rPr>
          <w:rFonts w:ascii="Times New Roman" w:hAnsi="Times New Roman" w:cs="Times New Roman"/>
        </w:rPr>
        <w:t xml:space="preserve"> </w:t>
      </w:r>
      <w:r>
        <w:rPr>
          <w:rFonts w:ascii="Times New Roman" w:hAnsi="Times New Roman" w:cs="Times New Roman"/>
        </w:rPr>
        <w:t xml:space="preserve">57-58, </w:t>
      </w:r>
      <w:r w:rsidRPr="00722EE2">
        <w:rPr>
          <w:rFonts w:ascii="Times New Roman" w:hAnsi="Times New Roman" w:cs="Times New Roman"/>
        </w:rPr>
        <w:t>102, 134.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5DFF"/>
    <w:multiLevelType w:val="hybridMultilevel"/>
    <w:tmpl w:val="AFBAE2BE"/>
    <w:lvl w:ilvl="0" w:tplc="5032E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2A7440"/>
    <w:multiLevelType w:val="hybridMultilevel"/>
    <w:tmpl w:val="26281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652E6"/>
    <w:multiLevelType w:val="hybridMultilevel"/>
    <w:tmpl w:val="86BAFC72"/>
    <w:lvl w:ilvl="0" w:tplc="436AA958">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5C6644"/>
    <w:multiLevelType w:val="hybridMultilevel"/>
    <w:tmpl w:val="1004E2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692844"/>
    <w:multiLevelType w:val="hybridMultilevel"/>
    <w:tmpl w:val="AEE6495A"/>
    <w:lvl w:ilvl="0" w:tplc="8ECCBD3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B0FD5"/>
    <w:multiLevelType w:val="hybridMultilevel"/>
    <w:tmpl w:val="245682DE"/>
    <w:lvl w:ilvl="0" w:tplc="3E469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64B6E"/>
    <w:multiLevelType w:val="hybridMultilevel"/>
    <w:tmpl w:val="4640969A"/>
    <w:lvl w:ilvl="0" w:tplc="AE766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5D4639"/>
    <w:multiLevelType w:val="hybridMultilevel"/>
    <w:tmpl w:val="CF92895E"/>
    <w:lvl w:ilvl="0" w:tplc="6DD0381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887B6D"/>
    <w:multiLevelType w:val="hybridMultilevel"/>
    <w:tmpl w:val="92AA1E26"/>
    <w:lvl w:ilvl="0" w:tplc="3AECF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441CC"/>
    <w:multiLevelType w:val="hybridMultilevel"/>
    <w:tmpl w:val="8A1821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E1113"/>
    <w:multiLevelType w:val="hybridMultilevel"/>
    <w:tmpl w:val="9CD65DEA"/>
    <w:lvl w:ilvl="0" w:tplc="983E1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EC6705E"/>
    <w:multiLevelType w:val="hybridMultilevel"/>
    <w:tmpl w:val="B470DB1E"/>
    <w:lvl w:ilvl="0" w:tplc="2572DB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DD6C57"/>
    <w:multiLevelType w:val="hybridMultilevel"/>
    <w:tmpl w:val="A52AB85A"/>
    <w:lvl w:ilvl="0" w:tplc="994C8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AA12D2"/>
    <w:multiLevelType w:val="hybridMultilevel"/>
    <w:tmpl w:val="7B62C6CE"/>
    <w:lvl w:ilvl="0" w:tplc="3E3040F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0"/>
  </w:num>
  <w:num w:numId="4">
    <w:abstractNumId w:val="7"/>
  </w:num>
  <w:num w:numId="5">
    <w:abstractNumId w:val="13"/>
  </w:num>
  <w:num w:numId="6">
    <w:abstractNumId w:val="1"/>
  </w:num>
  <w:num w:numId="7">
    <w:abstractNumId w:val="8"/>
  </w:num>
  <w:num w:numId="8">
    <w:abstractNumId w:val="6"/>
  </w:num>
  <w:num w:numId="9">
    <w:abstractNumId w:val="11"/>
  </w:num>
  <w:num w:numId="10">
    <w:abstractNumId w:val="10"/>
  </w:num>
  <w:num w:numId="11">
    <w:abstractNumId w:val="4"/>
  </w:num>
  <w:num w:numId="12">
    <w:abstractNumId w:val="2"/>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7427"/>
    <w:rsid w:val="000254BB"/>
    <w:rsid w:val="00066AAD"/>
    <w:rsid w:val="0008284E"/>
    <w:rsid w:val="000B0D31"/>
    <w:rsid w:val="000C14C1"/>
    <w:rsid w:val="000C204C"/>
    <w:rsid w:val="00101876"/>
    <w:rsid w:val="001018E9"/>
    <w:rsid w:val="0011475F"/>
    <w:rsid w:val="0013500E"/>
    <w:rsid w:val="00140D63"/>
    <w:rsid w:val="0015431E"/>
    <w:rsid w:val="00156819"/>
    <w:rsid w:val="00202A2B"/>
    <w:rsid w:val="00205701"/>
    <w:rsid w:val="00213F7C"/>
    <w:rsid w:val="00222E0D"/>
    <w:rsid w:val="00244CC2"/>
    <w:rsid w:val="002936FA"/>
    <w:rsid w:val="002D6E9A"/>
    <w:rsid w:val="00332C39"/>
    <w:rsid w:val="0036258E"/>
    <w:rsid w:val="003720F7"/>
    <w:rsid w:val="003F37BD"/>
    <w:rsid w:val="00430392"/>
    <w:rsid w:val="00433E57"/>
    <w:rsid w:val="0044579B"/>
    <w:rsid w:val="004D26C3"/>
    <w:rsid w:val="004D4E52"/>
    <w:rsid w:val="004D688E"/>
    <w:rsid w:val="004E10CE"/>
    <w:rsid w:val="004F116A"/>
    <w:rsid w:val="00507618"/>
    <w:rsid w:val="00513BCC"/>
    <w:rsid w:val="0055303C"/>
    <w:rsid w:val="00553750"/>
    <w:rsid w:val="00577668"/>
    <w:rsid w:val="0058475F"/>
    <w:rsid w:val="005A7B6B"/>
    <w:rsid w:val="005F6900"/>
    <w:rsid w:val="006310C0"/>
    <w:rsid w:val="00634906"/>
    <w:rsid w:val="00645565"/>
    <w:rsid w:val="00681BCD"/>
    <w:rsid w:val="006D7881"/>
    <w:rsid w:val="007654BE"/>
    <w:rsid w:val="007F39F3"/>
    <w:rsid w:val="008051D1"/>
    <w:rsid w:val="00846DEE"/>
    <w:rsid w:val="00855C2B"/>
    <w:rsid w:val="00863D94"/>
    <w:rsid w:val="00872EB4"/>
    <w:rsid w:val="00877D4D"/>
    <w:rsid w:val="008C008F"/>
    <w:rsid w:val="008F72DD"/>
    <w:rsid w:val="009105DD"/>
    <w:rsid w:val="00953B3A"/>
    <w:rsid w:val="0095618C"/>
    <w:rsid w:val="009716E2"/>
    <w:rsid w:val="0097368F"/>
    <w:rsid w:val="009C4795"/>
    <w:rsid w:val="009C63E4"/>
    <w:rsid w:val="00A019BF"/>
    <w:rsid w:val="00A0318E"/>
    <w:rsid w:val="00A93CC5"/>
    <w:rsid w:val="00AA6F52"/>
    <w:rsid w:val="00AD7A20"/>
    <w:rsid w:val="00AE0F7D"/>
    <w:rsid w:val="00B773F6"/>
    <w:rsid w:val="00BD1AA0"/>
    <w:rsid w:val="00C0053E"/>
    <w:rsid w:val="00C06395"/>
    <w:rsid w:val="00C3363E"/>
    <w:rsid w:val="00C91335"/>
    <w:rsid w:val="00CB5422"/>
    <w:rsid w:val="00CE7CAD"/>
    <w:rsid w:val="00D0475C"/>
    <w:rsid w:val="00DA371B"/>
    <w:rsid w:val="00E32B40"/>
    <w:rsid w:val="00E720C9"/>
    <w:rsid w:val="00E839EF"/>
    <w:rsid w:val="00E86A39"/>
    <w:rsid w:val="00EE591B"/>
    <w:rsid w:val="00F15F0A"/>
    <w:rsid w:val="00F37427"/>
    <w:rsid w:val="00F41E91"/>
    <w:rsid w:val="00F45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427"/>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F37427"/>
    <w:pPr>
      <w:keepNext/>
      <w:widowControl/>
      <w:autoSpaceDE/>
      <w:autoSpaceDN/>
      <w:adjustRightInd/>
      <w:jc w:val="both"/>
      <w:outlineLvl w:val="0"/>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427"/>
    <w:rPr>
      <w:rFonts w:ascii="Times New Roman" w:eastAsia="Times New Roman" w:hAnsi="Times New Roman" w:cs="Times New Roman"/>
      <w:b/>
      <w:bCs/>
      <w:sz w:val="24"/>
      <w:szCs w:val="24"/>
    </w:rPr>
  </w:style>
  <w:style w:type="paragraph" w:styleId="ListParagraph">
    <w:name w:val="List Paragraph"/>
    <w:basedOn w:val="Normal"/>
    <w:uiPriority w:val="34"/>
    <w:qFormat/>
    <w:rsid w:val="00F37427"/>
    <w:pPr>
      <w:ind w:left="720"/>
      <w:contextualSpacing/>
    </w:pPr>
  </w:style>
  <w:style w:type="character" w:styleId="Hyperlink">
    <w:name w:val="Hyperlink"/>
    <w:rsid w:val="006D7881"/>
    <w:rPr>
      <w:color w:val="0000FF"/>
      <w:u w:val="single"/>
    </w:rPr>
  </w:style>
  <w:style w:type="paragraph" w:styleId="Header">
    <w:name w:val="header"/>
    <w:basedOn w:val="Normal"/>
    <w:link w:val="HeaderChar"/>
    <w:uiPriority w:val="99"/>
    <w:semiHidden/>
    <w:unhideWhenUsed/>
    <w:rsid w:val="00A93CC5"/>
    <w:pPr>
      <w:tabs>
        <w:tab w:val="center" w:pos="4680"/>
        <w:tab w:val="right" w:pos="9360"/>
      </w:tabs>
    </w:pPr>
  </w:style>
  <w:style w:type="character" w:customStyle="1" w:styleId="HeaderChar">
    <w:name w:val="Header Char"/>
    <w:basedOn w:val="DefaultParagraphFont"/>
    <w:link w:val="Header"/>
    <w:uiPriority w:val="99"/>
    <w:semiHidden/>
    <w:rsid w:val="00A93CC5"/>
    <w:rPr>
      <w:rFonts w:ascii="Courier" w:eastAsia="Times New Roman" w:hAnsi="Courier" w:cs="Times New Roman"/>
      <w:sz w:val="24"/>
      <w:szCs w:val="24"/>
    </w:rPr>
  </w:style>
  <w:style w:type="paragraph" w:styleId="Footer">
    <w:name w:val="footer"/>
    <w:basedOn w:val="Normal"/>
    <w:link w:val="FooterChar"/>
    <w:uiPriority w:val="99"/>
    <w:unhideWhenUsed/>
    <w:rsid w:val="00A93CC5"/>
    <w:pPr>
      <w:tabs>
        <w:tab w:val="center" w:pos="4680"/>
        <w:tab w:val="right" w:pos="9360"/>
      </w:tabs>
    </w:pPr>
  </w:style>
  <w:style w:type="character" w:customStyle="1" w:styleId="FooterChar">
    <w:name w:val="Footer Char"/>
    <w:basedOn w:val="DefaultParagraphFont"/>
    <w:link w:val="Footer"/>
    <w:uiPriority w:val="99"/>
    <w:rsid w:val="00A93CC5"/>
    <w:rPr>
      <w:rFonts w:ascii="Courier" w:eastAsia="Times New Roman" w:hAnsi="Courier" w:cs="Times New Roman"/>
      <w:sz w:val="24"/>
      <w:szCs w:val="24"/>
    </w:rPr>
  </w:style>
  <w:style w:type="paragraph" w:styleId="FootnoteText">
    <w:name w:val="footnote text"/>
    <w:basedOn w:val="Normal"/>
    <w:link w:val="FootnoteTextChar"/>
    <w:uiPriority w:val="99"/>
    <w:unhideWhenUsed/>
    <w:rsid w:val="0008284E"/>
    <w:pPr>
      <w:widowControl/>
      <w:autoSpaceDE/>
      <w:autoSpaceDN/>
      <w:adjustRightInd/>
    </w:pPr>
    <w:rPr>
      <w:rFonts w:ascii="Arial" w:eastAsia="Arial" w:hAnsi="Arial" w:cs="Arial"/>
      <w:color w:val="000000"/>
      <w:sz w:val="20"/>
      <w:szCs w:val="20"/>
    </w:rPr>
  </w:style>
  <w:style w:type="character" w:customStyle="1" w:styleId="FootnoteTextChar">
    <w:name w:val="Footnote Text Char"/>
    <w:basedOn w:val="DefaultParagraphFont"/>
    <w:link w:val="FootnoteText"/>
    <w:uiPriority w:val="99"/>
    <w:rsid w:val="0008284E"/>
    <w:rPr>
      <w:rFonts w:ascii="Arial" w:eastAsia="Arial" w:hAnsi="Arial" w:cs="Arial"/>
      <w:color w:val="000000"/>
      <w:sz w:val="20"/>
      <w:szCs w:val="20"/>
    </w:rPr>
  </w:style>
  <w:style w:type="character" w:styleId="FootnoteReference">
    <w:name w:val="footnote reference"/>
    <w:basedOn w:val="DefaultParagraphFont"/>
    <w:uiPriority w:val="99"/>
    <w:unhideWhenUsed/>
    <w:rsid w:val="0008284E"/>
    <w:rPr>
      <w:vertAlign w:val="superscript"/>
    </w:rPr>
  </w:style>
  <w:style w:type="paragraph" w:styleId="NormalWeb">
    <w:name w:val="Normal (Web)"/>
    <w:basedOn w:val="Normal"/>
    <w:uiPriority w:val="99"/>
    <w:unhideWhenUsed/>
    <w:rsid w:val="00E86A39"/>
    <w:pPr>
      <w:widowControl/>
      <w:autoSpaceDE/>
      <w:autoSpaceDN/>
      <w:adjustRightInd/>
      <w:spacing w:before="100" w:beforeAutospacing="1" w:after="100" w:afterAutospacing="1"/>
    </w:pPr>
    <w:rPr>
      <w:rFonts w:ascii="Times New Roman" w:eastAsia="Arial" w:hAnsi="Times New Roman"/>
    </w:rPr>
  </w:style>
  <w:style w:type="paragraph" w:customStyle="1" w:styleId="Default">
    <w:name w:val="Default"/>
    <w:rsid w:val="009C63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91753657">
      <w:bodyDiv w:val="1"/>
      <w:marLeft w:val="0"/>
      <w:marRight w:val="0"/>
      <w:marTop w:val="0"/>
      <w:marBottom w:val="0"/>
      <w:divBdr>
        <w:top w:val="none" w:sz="0" w:space="0" w:color="auto"/>
        <w:left w:val="none" w:sz="0" w:space="0" w:color="auto"/>
        <w:bottom w:val="none" w:sz="0" w:space="0" w:color="auto"/>
        <w:right w:val="none" w:sz="0" w:space="0" w:color="auto"/>
      </w:divBdr>
      <w:divsChild>
        <w:div w:id="1541236758">
          <w:marLeft w:val="0"/>
          <w:marRight w:val="0"/>
          <w:marTop w:val="0"/>
          <w:marBottom w:val="0"/>
          <w:divBdr>
            <w:top w:val="none" w:sz="0" w:space="0" w:color="auto"/>
            <w:left w:val="none" w:sz="0" w:space="0" w:color="auto"/>
            <w:bottom w:val="none" w:sz="0" w:space="0" w:color="auto"/>
            <w:right w:val="none" w:sz="0" w:space="0" w:color="auto"/>
          </w:divBdr>
          <w:divsChild>
            <w:div w:id="297999528">
              <w:marLeft w:val="0"/>
              <w:marRight w:val="0"/>
              <w:marTop w:val="0"/>
              <w:marBottom w:val="0"/>
              <w:divBdr>
                <w:top w:val="none" w:sz="0" w:space="0" w:color="auto"/>
                <w:left w:val="none" w:sz="0" w:space="0" w:color="auto"/>
                <w:bottom w:val="none" w:sz="0" w:space="0" w:color="auto"/>
                <w:right w:val="none" w:sz="0" w:space="0" w:color="auto"/>
              </w:divBdr>
              <w:divsChild>
                <w:div w:id="16582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6108">
          <w:marLeft w:val="0"/>
          <w:marRight w:val="0"/>
          <w:marTop w:val="0"/>
          <w:marBottom w:val="0"/>
          <w:divBdr>
            <w:top w:val="none" w:sz="0" w:space="0" w:color="auto"/>
            <w:left w:val="none" w:sz="0" w:space="0" w:color="auto"/>
            <w:bottom w:val="none" w:sz="0" w:space="0" w:color="auto"/>
            <w:right w:val="none" w:sz="0" w:space="0" w:color="auto"/>
          </w:divBdr>
          <w:divsChild>
            <w:div w:id="921253989">
              <w:marLeft w:val="0"/>
              <w:marRight w:val="0"/>
              <w:marTop w:val="0"/>
              <w:marBottom w:val="0"/>
              <w:divBdr>
                <w:top w:val="none" w:sz="0" w:space="0" w:color="auto"/>
                <w:left w:val="none" w:sz="0" w:space="0" w:color="auto"/>
                <w:bottom w:val="none" w:sz="0" w:space="0" w:color="auto"/>
                <w:right w:val="none" w:sz="0" w:space="0" w:color="auto"/>
              </w:divBdr>
              <w:divsChild>
                <w:div w:id="10983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6956">
      <w:bodyDiv w:val="1"/>
      <w:marLeft w:val="0"/>
      <w:marRight w:val="0"/>
      <w:marTop w:val="0"/>
      <w:marBottom w:val="0"/>
      <w:divBdr>
        <w:top w:val="none" w:sz="0" w:space="0" w:color="auto"/>
        <w:left w:val="none" w:sz="0" w:space="0" w:color="auto"/>
        <w:bottom w:val="none" w:sz="0" w:space="0" w:color="auto"/>
        <w:right w:val="none" w:sz="0" w:space="0" w:color="auto"/>
      </w:divBdr>
      <w:divsChild>
        <w:div w:id="12460386">
          <w:marLeft w:val="0"/>
          <w:marRight w:val="0"/>
          <w:marTop w:val="0"/>
          <w:marBottom w:val="0"/>
          <w:divBdr>
            <w:top w:val="none" w:sz="0" w:space="0" w:color="auto"/>
            <w:left w:val="none" w:sz="0" w:space="0" w:color="auto"/>
            <w:bottom w:val="none" w:sz="0" w:space="0" w:color="auto"/>
            <w:right w:val="none" w:sz="0" w:space="0" w:color="auto"/>
          </w:divBdr>
        </w:div>
        <w:div w:id="1271627217">
          <w:marLeft w:val="0"/>
          <w:marRight w:val="0"/>
          <w:marTop w:val="0"/>
          <w:marBottom w:val="0"/>
          <w:divBdr>
            <w:top w:val="none" w:sz="0" w:space="0" w:color="auto"/>
            <w:left w:val="none" w:sz="0" w:space="0" w:color="auto"/>
            <w:bottom w:val="none" w:sz="0" w:space="0" w:color="auto"/>
            <w:right w:val="none" w:sz="0" w:space="0" w:color="auto"/>
          </w:divBdr>
        </w:div>
        <w:div w:id="1897622454">
          <w:marLeft w:val="0"/>
          <w:marRight w:val="0"/>
          <w:marTop w:val="0"/>
          <w:marBottom w:val="0"/>
          <w:divBdr>
            <w:top w:val="none" w:sz="0" w:space="0" w:color="auto"/>
            <w:left w:val="none" w:sz="0" w:space="0" w:color="auto"/>
            <w:bottom w:val="none" w:sz="0" w:space="0" w:color="auto"/>
            <w:right w:val="none" w:sz="0" w:space="0" w:color="auto"/>
          </w:divBdr>
        </w:div>
        <w:div w:id="1358118565">
          <w:marLeft w:val="0"/>
          <w:marRight w:val="0"/>
          <w:marTop w:val="0"/>
          <w:marBottom w:val="0"/>
          <w:divBdr>
            <w:top w:val="none" w:sz="0" w:space="0" w:color="auto"/>
            <w:left w:val="none" w:sz="0" w:space="0" w:color="auto"/>
            <w:bottom w:val="none" w:sz="0" w:space="0" w:color="auto"/>
            <w:right w:val="none" w:sz="0" w:space="0" w:color="auto"/>
          </w:divBdr>
        </w:div>
        <w:div w:id="1448280475">
          <w:marLeft w:val="0"/>
          <w:marRight w:val="0"/>
          <w:marTop w:val="0"/>
          <w:marBottom w:val="0"/>
          <w:divBdr>
            <w:top w:val="none" w:sz="0" w:space="0" w:color="auto"/>
            <w:left w:val="none" w:sz="0" w:space="0" w:color="auto"/>
            <w:bottom w:val="none" w:sz="0" w:space="0" w:color="auto"/>
            <w:right w:val="none" w:sz="0" w:space="0" w:color="auto"/>
          </w:divBdr>
        </w:div>
        <w:div w:id="693458128">
          <w:marLeft w:val="0"/>
          <w:marRight w:val="0"/>
          <w:marTop w:val="0"/>
          <w:marBottom w:val="0"/>
          <w:divBdr>
            <w:top w:val="none" w:sz="0" w:space="0" w:color="auto"/>
            <w:left w:val="none" w:sz="0" w:space="0" w:color="auto"/>
            <w:bottom w:val="none" w:sz="0" w:space="0" w:color="auto"/>
            <w:right w:val="none" w:sz="0" w:space="0" w:color="auto"/>
          </w:divBdr>
        </w:div>
        <w:div w:id="1373076844">
          <w:marLeft w:val="0"/>
          <w:marRight w:val="0"/>
          <w:marTop w:val="0"/>
          <w:marBottom w:val="0"/>
          <w:divBdr>
            <w:top w:val="none" w:sz="0" w:space="0" w:color="auto"/>
            <w:left w:val="none" w:sz="0" w:space="0" w:color="auto"/>
            <w:bottom w:val="none" w:sz="0" w:space="0" w:color="auto"/>
            <w:right w:val="none" w:sz="0" w:space="0" w:color="auto"/>
          </w:divBdr>
        </w:div>
        <w:div w:id="1312445095">
          <w:marLeft w:val="0"/>
          <w:marRight w:val="0"/>
          <w:marTop w:val="0"/>
          <w:marBottom w:val="0"/>
          <w:divBdr>
            <w:top w:val="none" w:sz="0" w:space="0" w:color="auto"/>
            <w:left w:val="none" w:sz="0" w:space="0" w:color="auto"/>
            <w:bottom w:val="none" w:sz="0" w:space="0" w:color="auto"/>
            <w:right w:val="none" w:sz="0" w:space="0" w:color="auto"/>
          </w:divBdr>
        </w:div>
        <w:div w:id="1639842505">
          <w:marLeft w:val="0"/>
          <w:marRight w:val="0"/>
          <w:marTop w:val="0"/>
          <w:marBottom w:val="0"/>
          <w:divBdr>
            <w:top w:val="none" w:sz="0" w:space="0" w:color="auto"/>
            <w:left w:val="none" w:sz="0" w:space="0" w:color="auto"/>
            <w:bottom w:val="none" w:sz="0" w:space="0" w:color="auto"/>
            <w:right w:val="none" w:sz="0" w:space="0" w:color="auto"/>
          </w:divBdr>
        </w:div>
        <w:div w:id="1428228703">
          <w:marLeft w:val="0"/>
          <w:marRight w:val="0"/>
          <w:marTop w:val="0"/>
          <w:marBottom w:val="0"/>
          <w:divBdr>
            <w:top w:val="none" w:sz="0" w:space="0" w:color="auto"/>
            <w:left w:val="none" w:sz="0" w:space="0" w:color="auto"/>
            <w:bottom w:val="none" w:sz="0" w:space="0" w:color="auto"/>
            <w:right w:val="none" w:sz="0" w:space="0" w:color="auto"/>
          </w:divBdr>
        </w:div>
        <w:div w:id="1603151859">
          <w:marLeft w:val="0"/>
          <w:marRight w:val="0"/>
          <w:marTop w:val="0"/>
          <w:marBottom w:val="0"/>
          <w:divBdr>
            <w:top w:val="none" w:sz="0" w:space="0" w:color="auto"/>
            <w:left w:val="none" w:sz="0" w:space="0" w:color="auto"/>
            <w:bottom w:val="none" w:sz="0" w:space="0" w:color="auto"/>
            <w:right w:val="none" w:sz="0" w:space="0" w:color="auto"/>
          </w:divBdr>
        </w:div>
        <w:div w:id="846948665">
          <w:marLeft w:val="0"/>
          <w:marRight w:val="0"/>
          <w:marTop w:val="0"/>
          <w:marBottom w:val="0"/>
          <w:divBdr>
            <w:top w:val="none" w:sz="0" w:space="0" w:color="auto"/>
            <w:left w:val="none" w:sz="0" w:space="0" w:color="auto"/>
            <w:bottom w:val="none" w:sz="0" w:space="0" w:color="auto"/>
            <w:right w:val="none" w:sz="0" w:space="0" w:color="auto"/>
          </w:divBdr>
        </w:div>
        <w:div w:id="1693651733">
          <w:marLeft w:val="0"/>
          <w:marRight w:val="0"/>
          <w:marTop w:val="0"/>
          <w:marBottom w:val="0"/>
          <w:divBdr>
            <w:top w:val="none" w:sz="0" w:space="0" w:color="auto"/>
            <w:left w:val="none" w:sz="0" w:space="0" w:color="auto"/>
            <w:bottom w:val="none" w:sz="0" w:space="0" w:color="auto"/>
            <w:right w:val="none" w:sz="0" w:space="0" w:color="auto"/>
          </w:divBdr>
        </w:div>
      </w:divsChild>
    </w:div>
    <w:div w:id="784227097">
      <w:bodyDiv w:val="1"/>
      <w:marLeft w:val="0"/>
      <w:marRight w:val="0"/>
      <w:marTop w:val="0"/>
      <w:marBottom w:val="0"/>
      <w:divBdr>
        <w:top w:val="none" w:sz="0" w:space="0" w:color="auto"/>
        <w:left w:val="none" w:sz="0" w:space="0" w:color="auto"/>
        <w:bottom w:val="none" w:sz="0" w:space="0" w:color="auto"/>
        <w:right w:val="none" w:sz="0" w:space="0" w:color="auto"/>
      </w:divBdr>
      <w:divsChild>
        <w:div w:id="1075973244">
          <w:marLeft w:val="0"/>
          <w:marRight w:val="0"/>
          <w:marTop w:val="0"/>
          <w:marBottom w:val="0"/>
          <w:divBdr>
            <w:top w:val="none" w:sz="0" w:space="0" w:color="auto"/>
            <w:left w:val="none" w:sz="0" w:space="0" w:color="auto"/>
            <w:bottom w:val="none" w:sz="0" w:space="0" w:color="auto"/>
            <w:right w:val="none" w:sz="0" w:space="0" w:color="auto"/>
          </w:divBdr>
        </w:div>
        <w:div w:id="1517263">
          <w:marLeft w:val="0"/>
          <w:marRight w:val="0"/>
          <w:marTop w:val="0"/>
          <w:marBottom w:val="0"/>
          <w:divBdr>
            <w:top w:val="none" w:sz="0" w:space="0" w:color="auto"/>
            <w:left w:val="none" w:sz="0" w:space="0" w:color="auto"/>
            <w:bottom w:val="none" w:sz="0" w:space="0" w:color="auto"/>
            <w:right w:val="none" w:sz="0" w:space="0" w:color="auto"/>
          </w:divBdr>
        </w:div>
        <w:div w:id="1482578948">
          <w:marLeft w:val="0"/>
          <w:marRight w:val="0"/>
          <w:marTop w:val="0"/>
          <w:marBottom w:val="0"/>
          <w:divBdr>
            <w:top w:val="none" w:sz="0" w:space="0" w:color="auto"/>
            <w:left w:val="none" w:sz="0" w:space="0" w:color="auto"/>
            <w:bottom w:val="none" w:sz="0" w:space="0" w:color="auto"/>
            <w:right w:val="none" w:sz="0" w:space="0" w:color="auto"/>
          </w:divBdr>
        </w:div>
        <w:div w:id="806321392">
          <w:marLeft w:val="0"/>
          <w:marRight w:val="0"/>
          <w:marTop w:val="0"/>
          <w:marBottom w:val="0"/>
          <w:divBdr>
            <w:top w:val="none" w:sz="0" w:space="0" w:color="auto"/>
            <w:left w:val="none" w:sz="0" w:space="0" w:color="auto"/>
            <w:bottom w:val="none" w:sz="0" w:space="0" w:color="auto"/>
            <w:right w:val="none" w:sz="0" w:space="0" w:color="auto"/>
          </w:divBdr>
        </w:div>
      </w:divsChild>
    </w:div>
    <w:div w:id="1079866301">
      <w:bodyDiv w:val="1"/>
      <w:marLeft w:val="0"/>
      <w:marRight w:val="0"/>
      <w:marTop w:val="0"/>
      <w:marBottom w:val="0"/>
      <w:divBdr>
        <w:top w:val="none" w:sz="0" w:space="0" w:color="auto"/>
        <w:left w:val="none" w:sz="0" w:space="0" w:color="auto"/>
        <w:bottom w:val="none" w:sz="0" w:space="0" w:color="auto"/>
        <w:right w:val="none" w:sz="0" w:space="0" w:color="auto"/>
      </w:divBdr>
      <w:divsChild>
        <w:div w:id="1744637757">
          <w:marLeft w:val="0"/>
          <w:marRight w:val="0"/>
          <w:marTop w:val="0"/>
          <w:marBottom w:val="0"/>
          <w:divBdr>
            <w:top w:val="none" w:sz="0" w:space="0" w:color="auto"/>
            <w:left w:val="none" w:sz="0" w:space="0" w:color="auto"/>
            <w:bottom w:val="none" w:sz="0" w:space="0" w:color="auto"/>
            <w:right w:val="none" w:sz="0" w:space="0" w:color="auto"/>
          </w:divBdr>
        </w:div>
        <w:div w:id="802191449">
          <w:marLeft w:val="0"/>
          <w:marRight w:val="0"/>
          <w:marTop w:val="0"/>
          <w:marBottom w:val="0"/>
          <w:divBdr>
            <w:top w:val="none" w:sz="0" w:space="0" w:color="auto"/>
            <w:left w:val="none" w:sz="0" w:space="0" w:color="auto"/>
            <w:bottom w:val="none" w:sz="0" w:space="0" w:color="auto"/>
            <w:right w:val="none" w:sz="0" w:space="0" w:color="auto"/>
          </w:divBdr>
        </w:div>
        <w:div w:id="312610811">
          <w:marLeft w:val="0"/>
          <w:marRight w:val="0"/>
          <w:marTop w:val="0"/>
          <w:marBottom w:val="0"/>
          <w:divBdr>
            <w:top w:val="none" w:sz="0" w:space="0" w:color="auto"/>
            <w:left w:val="none" w:sz="0" w:space="0" w:color="auto"/>
            <w:bottom w:val="none" w:sz="0" w:space="0" w:color="auto"/>
            <w:right w:val="none" w:sz="0" w:space="0" w:color="auto"/>
          </w:divBdr>
        </w:div>
        <w:div w:id="617881237">
          <w:marLeft w:val="0"/>
          <w:marRight w:val="0"/>
          <w:marTop w:val="0"/>
          <w:marBottom w:val="0"/>
          <w:divBdr>
            <w:top w:val="none" w:sz="0" w:space="0" w:color="auto"/>
            <w:left w:val="none" w:sz="0" w:space="0" w:color="auto"/>
            <w:bottom w:val="none" w:sz="0" w:space="0" w:color="auto"/>
            <w:right w:val="none" w:sz="0" w:space="0" w:color="auto"/>
          </w:divBdr>
        </w:div>
      </w:divsChild>
    </w:div>
    <w:div w:id="1302661808">
      <w:bodyDiv w:val="1"/>
      <w:marLeft w:val="0"/>
      <w:marRight w:val="0"/>
      <w:marTop w:val="0"/>
      <w:marBottom w:val="0"/>
      <w:divBdr>
        <w:top w:val="none" w:sz="0" w:space="0" w:color="auto"/>
        <w:left w:val="none" w:sz="0" w:space="0" w:color="auto"/>
        <w:bottom w:val="none" w:sz="0" w:space="0" w:color="auto"/>
        <w:right w:val="none" w:sz="0" w:space="0" w:color="auto"/>
      </w:divBdr>
      <w:divsChild>
        <w:div w:id="1983465572">
          <w:marLeft w:val="0"/>
          <w:marRight w:val="0"/>
          <w:marTop w:val="0"/>
          <w:marBottom w:val="0"/>
          <w:divBdr>
            <w:top w:val="none" w:sz="0" w:space="0" w:color="auto"/>
            <w:left w:val="none" w:sz="0" w:space="0" w:color="auto"/>
            <w:bottom w:val="none" w:sz="0" w:space="0" w:color="auto"/>
            <w:right w:val="none" w:sz="0" w:space="0" w:color="auto"/>
          </w:divBdr>
        </w:div>
        <w:div w:id="1344019320">
          <w:marLeft w:val="0"/>
          <w:marRight w:val="0"/>
          <w:marTop w:val="0"/>
          <w:marBottom w:val="0"/>
          <w:divBdr>
            <w:top w:val="none" w:sz="0" w:space="0" w:color="auto"/>
            <w:left w:val="none" w:sz="0" w:space="0" w:color="auto"/>
            <w:bottom w:val="none" w:sz="0" w:space="0" w:color="auto"/>
            <w:right w:val="none" w:sz="0" w:space="0" w:color="auto"/>
          </w:divBdr>
        </w:div>
      </w:divsChild>
    </w:div>
    <w:div w:id="1717311892">
      <w:bodyDiv w:val="1"/>
      <w:marLeft w:val="0"/>
      <w:marRight w:val="0"/>
      <w:marTop w:val="0"/>
      <w:marBottom w:val="0"/>
      <w:divBdr>
        <w:top w:val="none" w:sz="0" w:space="0" w:color="auto"/>
        <w:left w:val="none" w:sz="0" w:space="0" w:color="auto"/>
        <w:bottom w:val="none" w:sz="0" w:space="0" w:color="auto"/>
        <w:right w:val="none" w:sz="0" w:space="0" w:color="auto"/>
      </w:divBdr>
      <w:divsChild>
        <w:div w:id="1023675656">
          <w:marLeft w:val="0"/>
          <w:marRight w:val="0"/>
          <w:marTop w:val="0"/>
          <w:marBottom w:val="0"/>
          <w:divBdr>
            <w:top w:val="none" w:sz="0" w:space="0" w:color="auto"/>
            <w:left w:val="none" w:sz="0" w:space="0" w:color="auto"/>
            <w:bottom w:val="none" w:sz="0" w:space="0" w:color="auto"/>
            <w:right w:val="none" w:sz="0" w:space="0" w:color="auto"/>
          </w:divBdr>
          <w:divsChild>
            <w:div w:id="1491483890">
              <w:marLeft w:val="0"/>
              <w:marRight w:val="0"/>
              <w:marTop w:val="0"/>
              <w:marBottom w:val="0"/>
              <w:divBdr>
                <w:top w:val="none" w:sz="0" w:space="0" w:color="auto"/>
                <w:left w:val="none" w:sz="0" w:space="0" w:color="auto"/>
                <w:bottom w:val="none" w:sz="0" w:space="0" w:color="auto"/>
                <w:right w:val="none" w:sz="0" w:space="0" w:color="auto"/>
              </w:divBdr>
              <w:divsChild>
                <w:div w:id="3976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4469">
      <w:bodyDiv w:val="1"/>
      <w:marLeft w:val="0"/>
      <w:marRight w:val="0"/>
      <w:marTop w:val="0"/>
      <w:marBottom w:val="0"/>
      <w:divBdr>
        <w:top w:val="none" w:sz="0" w:space="0" w:color="auto"/>
        <w:left w:val="none" w:sz="0" w:space="0" w:color="auto"/>
        <w:bottom w:val="none" w:sz="0" w:space="0" w:color="auto"/>
        <w:right w:val="none" w:sz="0" w:space="0" w:color="auto"/>
      </w:divBdr>
      <w:divsChild>
        <w:div w:id="63725793">
          <w:marLeft w:val="0"/>
          <w:marRight w:val="0"/>
          <w:marTop w:val="0"/>
          <w:marBottom w:val="0"/>
          <w:divBdr>
            <w:top w:val="none" w:sz="0" w:space="0" w:color="auto"/>
            <w:left w:val="none" w:sz="0" w:space="0" w:color="auto"/>
            <w:bottom w:val="none" w:sz="0" w:space="0" w:color="auto"/>
            <w:right w:val="none" w:sz="0" w:space="0" w:color="auto"/>
          </w:divBdr>
        </w:div>
        <w:div w:id="996149280">
          <w:marLeft w:val="0"/>
          <w:marRight w:val="0"/>
          <w:marTop w:val="0"/>
          <w:marBottom w:val="0"/>
          <w:divBdr>
            <w:top w:val="none" w:sz="0" w:space="0" w:color="auto"/>
            <w:left w:val="none" w:sz="0" w:space="0" w:color="auto"/>
            <w:bottom w:val="none" w:sz="0" w:space="0" w:color="auto"/>
            <w:right w:val="none" w:sz="0" w:space="0" w:color="auto"/>
          </w:divBdr>
        </w:div>
        <w:div w:id="854341171">
          <w:marLeft w:val="0"/>
          <w:marRight w:val="0"/>
          <w:marTop w:val="0"/>
          <w:marBottom w:val="0"/>
          <w:divBdr>
            <w:top w:val="none" w:sz="0" w:space="0" w:color="auto"/>
            <w:left w:val="none" w:sz="0" w:space="0" w:color="auto"/>
            <w:bottom w:val="none" w:sz="0" w:space="0" w:color="auto"/>
            <w:right w:val="none" w:sz="0" w:space="0" w:color="auto"/>
          </w:divBdr>
        </w:div>
        <w:div w:id="1770156080">
          <w:marLeft w:val="0"/>
          <w:marRight w:val="0"/>
          <w:marTop w:val="0"/>
          <w:marBottom w:val="0"/>
          <w:divBdr>
            <w:top w:val="none" w:sz="0" w:space="0" w:color="auto"/>
            <w:left w:val="none" w:sz="0" w:space="0" w:color="auto"/>
            <w:bottom w:val="none" w:sz="0" w:space="0" w:color="auto"/>
            <w:right w:val="none" w:sz="0" w:space="0" w:color="auto"/>
          </w:divBdr>
        </w:div>
        <w:div w:id="48968068">
          <w:marLeft w:val="0"/>
          <w:marRight w:val="0"/>
          <w:marTop w:val="0"/>
          <w:marBottom w:val="0"/>
          <w:divBdr>
            <w:top w:val="none" w:sz="0" w:space="0" w:color="auto"/>
            <w:left w:val="none" w:sz="0" w:space="0" w:color="auto"/>
            <w:bottom w:val="none" w:sz="0" w:space="0" w:color="auto"/>
            <w:right w:val="none" w:sz="0" w:space="0" w:color="auto"/>
          </w:divBdr>
        </w:div>
        <w:div w:id="696392709">
          <w:marLeft w:val="0"/>
          <w:marRight w:val="0"/>
          <w:marTop w:val="0"/>
          <w:marBottom w:val="0"/>
          <w:divBdr>
            <w:top w:val="none" w:sz="0" w:space="0" w:color="auto"/>
            <w:left w:val="none" w:sz="0" w:space="0" w:color="auto"/>
            <w:bottom w:val="none" w:sz="0" w:space="0" w:color="auto"/>
            <w:right w:val="none" w:sz="0" w:space="0" w:color="auto"/>
          </w:divBdr>
        </w:div>
        <w:div w:id="234166652">
          <w:marLeft w:val="0"/>
          <w:marRight w:val="0"/>
          <w:marTop w:val="0"/>
          <w:marBottom w:val="0"/>
          <w:divBdr>
            <w:top w:val="none" w:sz="0" w:space="0" w:color="auto"/>
            <w:left w:val="none" w:sz="0" w:space="0" w:color="auto"/>
            <w:bottom w:val="none" w:sz="0" w:space="0" w:color="auto"/>
            <w:right w:val="none" w:sz="0" w:space="0" w:color="auto"/>
          </w:divBdr>
        </w:div>
        <w:div w:id="1019046678">
          <w:marLeft w:val="0"/>
          <w:marRight w:val="0"/>
          <w:marTop w:val="0"/>
          <w:marBottom w:val="0"/>
          <w:divBdr>
            <w:top w:val="none" w:sz="0" w:space="0" w:color="auto"/>
            <w:left w:val="none" w:sz="0" w:space="0" w:color="auto"/>
            <w:bottom w:val="none" w:sz="0" w:space="0" w:color="auto"/>
            <w:right w:val="none" w:sz="0" w:space="0" w:color="auto"/>
          </w:divBdr>
        </w:div>
        <w:div w:id="1349721605">
          <w:marLeft w:val="0"/>
          <w:marRight w:val="0"/>
          <w:marTop w:val="0"/>
          <w:marBottom w:val="0"/>
          <w:divBdr>
            <w:top w:val="none" w:sz="0" w:space="0" w:color="auto"/>
            <w:left w:val="none" w:sz="0" w:space="0" w:color="auto"/>
            <w:bottom w:val="none" w:sz="0" w:space="0" w:color="auto"/>
            <w:right w:val="none" w:sz="0" w:space="0" w:color="auto"/>
          </w:divBdr>
        </w:div>
        <w:div w:id="1138768059">
          <w:marLeft w:val="0"/>
          <w:marRight w:val="0"/>
          <w:marTop w:val="0"/>
          <w:marBottom w:val="0"/>
          <w:divBdr>
            <w:top w:val="none" w:sz="0" w:space="0" w:color="auto"/>
            <w:left w:val="none" w:sz="0" w:space="0" w:color="auto"/>
            <w:bottom w:val="none" w:sz="0" w:space="0" w:color="auto"/>
            <w:right w:val="none" w:sz="0" w:space="0" w:color="auto"/>
          </w:divBdr>
        </w:div>
        <w:div w:id="90319350">
          <w:marLeft w:val="0"/>
          <w:marRight w:val="0"/>
          <w:marTop w:val="0"/>
          <w:marBottom w:val="0"/>
          <w:divBdr>
            <w:top w:val="none" w:sz="0" w:space="0" w:color="auto"/>
            <w:left w:val="none" w:sz="0" w:space="0" w:color="auto"/>
            <w:bottom w:val="none" w:sz="0" w:space="0" w:color="auto"/>
            <w:right w:val="none" w:sz="0" w:space="0" w:color="auto"/>
          </w:divBdr>
        </w:div>
        <w:div w:id="1268003278">
          <w:marLeft w:val="0"/>
          <w:marRight w:val="0"/>
          <w:marTop w:val="0"/>
          <w:marBottom w:val="0"/>
          <w:divBdr>
            <w:top w:val="none" w:sz="0" w:space="0" w:color="auto"/>
            <w:left w:val="none" w:sz="0" w:space="0" w:color="auto"/>
            <w:bottom w:val="none" w:sz="0" w:space="0" w:color="auto"/>
            <w:right w:val="none" w:sz="0" w:space="0" w:color="auto"/>
          </w:divBdr>
        </w:div>
        <w:div w:id="1169558712">
          <w:marLeft w:val="0"/>
          <w:marRight w:val="0"/>
          <w:marTop w:val="0"/>
          <w:marBottom w:val="0"/>
          <w:divBdr>
            <w:top w:val="none" w:sz="0" w:space="0" w:color="auto"/>
            <w:left w:val="none" w:sz="0" w:space="0" w:color="auto"/>
            <w:bottom w:val="none" w:sz="0" w:space="0" w:color="auto"/>
            <w:right w:val="none" w:sz="0" w:space="0" w:color="auto"/>
          </w:divBdr>
        </w:div>
      </w:divsChild>
    </w:div>
    <w:div w:id="1996907002">
      <w:bodyDiv w:val="1"/>
      <w:marLeft w:val="0"/>
      <w:marRight w:val="0"/>
      <w:marTop w:val="0"/>
      <w:marBottom w:val="0"/>
      <w:divBdr>
        <w:top w:val="none" w:sz="0" w:space="0" w:color="auto"/>
        <w:left w:val="none" w:sz="0" w:space="0" w:color="auto"/>
        <w:bottom w:val="none" w:sz="0" w:space="0" w:color="auto"/>
        <w:right w:val="none" w:sz="0" w:space="0" w:color="auto"/>
      </w:divBdr>
      <w:divsChild>
        <w:div w:id="1648439604">
          <w:marLeft w:val="0"/>
          <w:marRight w:val="0"/>
          <w:marTop w:val="0"/>
          <w:marBottom w:val="0"/>
          <w:divBdr>
            <w:top w:val="none" w:sz="0" w:space="0" w:color="auto"/>
            <w:left w:val="none" w:sz="0" w:space="0" w:color="auto"/>
            <w:bottom w:val="none" w:sz="0" w:space="0" w:color="auto"/>
            <w:right w:val="none" w:sz="0" w:space="0" w:color="auto"/>
          </w:divBdr>
        </w:div>
        <w:div w:id="679048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ncfs/file/839731/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son@jwilsonpllc.com" TargetMode="External"/><Relationship Id="rId5" Type="http://schemas.openxmlformats.org/officeDocument/2006/relationships/webSettings" Target="webSettings.xml"/><Relationship Id="rId10" Type="http://schemas.openxmlformats.org/officeDocument/2006/relationships/hyperlink" Target="mailto:jonathanwtrapp@gmail.com" TargetMode="External"/><Relationship Id="rId4" Type="http://schemas.openxmlformats.org/officeDocument/2006/relationships/settings" Target="settings.xml"/><Relationship Id="rId9" Type="http://schemas.openxmlformats.org/officeDocument/2006/relationships/hyperlink" Target="mailto:Daniel@meierleg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EE962-BB67-4F3D-8924-AF7411BB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17</Pages>
  <Words>4560</Words>
  <Characters>27362</Characters>
  <Application>Microsoft Office Word</Application>
  <DocSecurity>0</DocSecurity>
  <Lines>1094</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hautry</dc:creator>
  <cp:lastModifiedBy>hautry</cp:lastModifiedBy>
  <cp:revision>36</cp:revision>
  <cp:lastPrinted>2017-09-29T12:38:00Z</cp:lastPrinted>
  <dcterms:created xsi:type="dcterms:W3CDTF">2017-09-27T13:58:00Z</dcterms:created>
  <dcterms:modified xsi:type="dcterms:W3CDTF">2017-09-29T12:40:00Z</dcterms:modified>
</cp:coreProperties>
</file>