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152" w:rsidRDefault="00044152" w:rsidP="00044152">
      <w:pPr>
        <w:pStyle w:val="Default"/>
        <w:rPr>
          <w:sz w:val="23"/>
          <w:szCs w:val="23"/>
        </w:rPr>
      </w:pPr>
      <w:r>
        <w:rPr>
          <w:b/>
          <w:bCs/>
          <w:sz w:val="23"/>
          <w:szCs w:val="23"/>
        </w:rPr>
        <w:t xml:space="preserve">STATE OF NORTH CAROLINA </w:t>
      </w:r>
      <w:r>
        <w:rPr>
          <w:b/>
          <w:bCs/>
          <w:sz w:val="23"/>
          <w:szCs w:val="23"/>
        </w:rPr>
        <w:tab/>
      </w:r>
      <w:r>
        <w:rPr>
          <w:b/>
          <w:bCs/>
          <w:sz w:val="23"/>
          <w:szCs w:val="23"/>
        </w:rPr>
        <w:tab/>
        <w:t xml:space="preserve">IN THE GENERAL COURT OF JUSTICE </w:t>
      </w:r>
    </w:p>
    <w:p w:rsidR="00044152" w:rsidRDefault="00044152" w:rsidP="00044152">
      <w:pPr>
        <w:pStyle w:val="Default"/>
        <w:ind w:left="4320" w:firstLine="720"/>
        <w:rPr>
          <w:sz w:val="23"/>
          <w:szCs w:val="23"/>
        </w:rPr>
      </w:pPr>
      <w:r>
        <w:rPr>
          <w:b/>
          <w:bCs/>
          <w:sz w:val="23"/>
          <w:szCs w:val="23"/>
        </w:rPr>
        <w:t xml:space="preserve">SUPERIOR COURT DIVISION </w:t>
      </w:r>
    </w:p>
    <w:p w:rsidR="00044152" w:rsidRDefault="00044152" w:rsidP="00044152">
      <w:pPr>
        <w:pStyle w:val="Default"/>
        <w:rPr>
          <w:sz w:val="23"/>
          <w:szCs w:val="23"/>
        </w:rPr>
      </w:pPr>
      <w:r>
        <w:rPr>
          <w:b/>
          <w:bCs/>
          <w:sz w:val="23"/>
          <w:szCs w:val="23"/>
        </w:rPr>
        <w:t xml:space="preserve">COUNTY OF WAKE </w:t>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09 CRS 000000 </w:t>
      </w:r>
    </w:p>
    <w:p w:rsidR="00044152" w:rsidRDefault="00044152" w:rsidP="00044152">
      <w:pPr>
        <w:pStyle w:val="Default"/>
        <w:rPr>
          <w:sz w:val="23"/>
          <w:szCs w:val="23"/>
        </w:rPr>
      </w:pPr>
      <w:r>
        <w:rPr>
          <w:b/>
          <w:bCs/>
          <w:sz w:val="23"/>
          <w:szCs w:val="23"/>
        </w:rPr>
        <w:t xml:space="preserve">STATE OF NORTH CAROLINA </w:t>
      </w:r>
      <w:r>
        <w:rPr>
          <w:b/>
          <w:bCs/>
          <w:sz w:val="23"/>
          <w:szCs w:val="23"/>
        </w:rPr>
        <w:tab/>
      </w:r>
      <w:r>
        <w:rPr>
          <w:b/>
          <w:bCs/>
          <w:sz w:val="23"/>
          <w:szCs w:val="23"/>
        </w:rPr>
        <w:tab/>
        <w:t xml:space="preserve">) </w:t>
      </w:r>
    </w:p>
    <w:p w:rsidR="00044152" w:rsidRDefault="00044152" w:rsidP="00044152">
      <w:pPr>
        <w:pStyle w:val="Default"/>
        <w:ind w:left="3600" w:firstLine="720"/>
        <w:rPr>
          <w:sz w:val="23"/>
          <w:szCs w:val="23"/>
        </w:rPr>
      </w:pPr>
      <w:r>
        <w:rPr>
          <w:b/>
          <w:bCs/>
          <w:sz w:val="23"/>
          <w:szCs w:val="23"/>
        </w:rPr>
        <w:t xml:space="preserve">) </w:t>
      </w:r>
    </w:p>
    <w:p w:rsidR="00044152" w:rsidRDefault="00044152" w:rsidP="00044152">
      <w:pPr>
        <w:pStyle w:val="Default"/>
        <w:rPr>
          <w:sz w:val="23"/>
          <w:szCs w:val="23"/>
        </w:rPr>
      </w:pPr>
      <w:proofErr w:type="gramStart"/>
      <w:r>
        <w:rPr>
          <w:b/>
          <w:bCs/>
          <w:sz w:val="23"/>
          <w:szCs w:val="23"/>
        </w:rPr>
        <w:t>vs</w:t>
      </w:r>
      <w:proofErr w:type="gramEnd"/>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t xml:space="preserve">MOTION FOR DISCOVERY OF </w:t>
      </w:r>
    </w:p>
    <w:p w:rsidR="00044152" w:rsidRDefault="00044152" w:rsidP="00044152">
      <w:pPr>
        <w:pStyle w:val="Default"/>
        <w:ind w:left="3600" w:firstLine="720"/>
        <w:rPr>
          <w:sz w:val="23"/>
          <w:szCs w:val="23"/>
        </w:rPr>
      </w:pPr>
      <w:r>
        <w:rPr>
          <w:b/>
          <w:bCs/>
          <w:sz w:val="23"/>
          <w:szCs w:val="23"/>
        </w:rPr>
        <w:t xml:space="preserve">) </w:t>
      </w:r>
      <w:r>
        <w:rPr>
          <w:b/>
          <w:bCs/>
          <w:sz w:val="23"/>
          <w:szCs w:val="23"/>
        </w:rPr>
        <w:tab/>
        <w:t xml:space="preserve">LABORATORY/SCIENTIFIC </w:t>
      </w:r>
    </w:p>
    <w:p w:rsidR="00044152" w:rsidRDefault="00044152" w:rsidP="00044152">
      <w:pPr>
        <w:pStyle w:val="Default"/>
        <w:rPr>
          <w:sz w:val="23"/>
          <w:szCs w:val="23"/>
        </w:rPr>
      </w:pPr>
      <w:r>
        <w:rPr>
          <w:b/>
          <w:bCs/>
          <w:sz w:val="23"/>
          <w:szCs w:val="23"/>
        </w:rPr>
        <w:t xml:space="preserve">JOHN Q. DOE, </w:t>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t xml:space="preserve">EVIDENCE </w:t>
      </w:r>
    </w:p>
    <w:p w:rsidR="00044152" w:rsidRDefault="00044152" w:rsidP="00044152">
      <w:pPr>
        <w:pStyle w:val="Default"/>
        <w:ind w:left="3600" w:firstLine="720"/>
        <w:rPr>
          <w:sz w:val="23"/>
          <w:szCs w:val="23"/>
        </w:rPr>
      </w:pPr>
      <w:r>
        <w:rPr>
          <w:b/>
          <w:bCs/>
          <w:sz w:val="23"/>
          <w:szCs w:val="23"/>
        </w:rPr>
        <w:t xml:space="preserve">) </w:t>
      </w:r>
    </w:p>
    <w:p w:rsidR="00044152" w:rsidRDefault="00AB59E4" w:rsidP="00044152">
      <w:pPr>
        <w:pStyle w:val="Default"/>
        <w:ind w:firstLine="720"/>
        <w:rPr>
          <w:sz w:val="23"/>
          <w:szCs w:val="23"/>
        </w:rPr>
      </w:pPr>
      <w:r>
        <w:rPr>
          <w:b/>
          <w:bCs/>
          <w:sz w:val="23"/>
          <w:szCs w:val="23"/>
        </w:rPr>
        <w:t>Defendant.</w:t>
      </w:r>
      <w:r>
        <w:rPr>
          <w:b/>
          <w:bCs/>
          <w:sz w:val="23"/>
          <w:szCs w:val="23"/>
        </w:rPr>
        <w:tab/>
      </w:r>
      <w:r>
        <w:rPr>
          <w:b/>
          <w:bCs/>
          <w:sz w:val="23"/>
          <w:szCs w:val="23"/>
        </w:rPr>
        <w:tab/>
      </w:r>
      <w:r>
        <w:rPr>
          <w:b/>
          <w:bCs/>
          <w:sz w:val="23"/>
          <w:szCs w:val="23"/>
        </w:rPr>
        <w:tab/>
      </w:r>
      <w:r>
        <w:rPr>
          <w:b/>
          <w:bCs/>
          <w:sz w:val="23"/>
          <w:szCs w:val="23"/>
        </w:rPr>
        <w:tab/>
      </w:r>
      <w:r w:rsidR="00044152">
        <w:rPr>
          <w:b/>
          <w:bCs/>
          <w:sz w:val="23"/>
          <w:szCs w:val="23"/>
        </w:rPr>
        <w:t xml:space="preserve">) </w:t>
      </w:r>
    </w:p>
    <w:p w:rsidR="00044152" w:rsidRDefault="00044152" w:rsidP="00044152">
      <w:pPr>
        <w:pStyle w:val="Default"/>
        <w:jc w:val="center"/>
        <w:rPr>
          <w:sz w:val="23"/>
          <w:szCs w:val="23"/>
        </w:rPr>
      </w:pPr>
      <w:r>
        <w:rPr>
          <w:sz w:val="23"/>
          <w:szCs w:val="23"/>
        </w:rPr>
        <w:t xml:space="preserve">____________________________________________________________ </w:t>
      </w:r>
    </w:p>
    <w:p w:rsidR="00044152" w:rsidRDefault="00044152" w:rsidP="00044152">
      <w:pPr>
        <w:pStyle w:val="Default"/>
        <w:jc w:val="center"/>
        <w:rPr>
          <w:sz w:val="23"/>
          <w:szCs w:val="23"/>
        </w:rPr>
      </w:pPr>
    </w:p>
    <w:p w:rsidR="00044152" w:rsidRDefault="00044152" w:rsidP="00044152">
      <w:pPr>
        <w:pStyle w:val="Default"/>
        <w:jc w:val="both"/>
        <w:rPr>
          <w:sz w:val="23"/>
          <w:szCs w:val="23"/>
        </w:rPr>
      </w:pPr>
      <w:r>
        <w:rPr>
          <w:b/>
          <w:bCs/>
          <w:sz w:val="23"/>
          <w:szCs w:val="23"/>
        </w:rPr>
        <w:t xml:space="preserve">NOW COMES </w:t>
      </w:r>
      <w:r>
        <w:rPr>
          <w:sz w:val="23"/>
          <w:szCs w:val="23"/>
        </w:rPr>
        <w:t xml:space="preserve">the Defendant, </w:t>
      </w:r>
      <w:r>
        <w:rPr>
          <w:b/>
          <w:bCs/>
          <w:i/>
          <w:iCs/>
          <w:sz w:val="23"/>
          <w:szCs w:val="23"/>
        </w:rPr>
        <w:t>John Q. Doe</w:t>
      </w:r>
      <w:r>
        <w:rPr>
          <w:sz w:val="23"/>
          <w:szCs w:val="23"/>
        </w:rPr>
        <w:t xml:space="preserve">, by and through the undersigned counsel, _______________, and hereby moves this Honorable Court, pursuant to the Fourth, Fifth, Sixth, Eighth, and Fourteenth Amendments to the United States Constitution; Article I §§ 19 and 23 of the North Carolina Constitution; </w:t>
      </w:r>
      <w:r>
        <w:rPr>
          <w:b/>
          <w:bCs/>
          <w:i/>
          <w:iCs/>
          <w:sz w:val="23"/>
          <w:szCs w:val="23"/>
        </w:rPr>
        <w:t>Brady v. Maryland</w:t>
      </w:r>
      <w:r>
        <w:rPr>
          <w:sz w:val="23"/>
          <w:szCs w:val="23"/>
        </w:rPr>
        <w:t xml:space="preserve">, 373 U.S. 83, 83 </w:t>
      </w:r>
      <w:proofErr w:type="spellStart"/>
      <w:r>
        <w:rPr>
          <w:sz w:val="23"/>
          <w:szCs w:val="23"/>
        </w:rPr>
        <w:t>S.Ct</w:t>
      </w:r>
      <w:proofErr w:type="spellEnd"/>
      <w:r>
        <w:rPr>
          <w:sz w:val="23"/>
          <w:szCs w:val="23"/>
        </w:rPr>
        <w:t>. 1194, 10 L.Ed.2d 215 (1963) and its progeny</w:t>
      </w:r>
      <w:r w:rsidR="00AB59E4">
        <w:rPr>
          <w:sz w:val="23"/>
          <w:szCs w:val="23"/>
        </w:rPr>
        <w:t xml:space="preserve">; </w:t>
      </w:r>
      <w:proofErr w:type="spellStart"/>
      <w:r w:rsidR="00AB59E4">
        <w:rPr>
          <w:sz w:val="23"/>
          <w:szCs w:val="23"/>
        </w:rPr>
        <w:t>N.C.Gen.Stat</w:t>
      </w:r>
      <w:proofErr w:type="spellEnd"/>
      <w:r w:rsidR="00AB59E4">
        <w:rPr>
          <w:sz w:val="23"/>
          <w:szCs w:val="23"/>
        </w:rPr>
        <w:t>. §§ 15A-903(a)</w:t>
      </w:r>
      <w:r>
        <w:rPr>
          <w:sz w:val="23"/>
          <w:szCs w:val="23"/>
        </w:rPr>
        <w:t xml:space="preserve">; </w:t>
      </w:r>
      <w:r>
        <w:rPr>
          <w:b/>
          <w:bCs/>
          <w:i/>
          <w:iCs/>
          <w:sz w:val="23"/>
          <w:szCs w:val="23"/>
        </w:rPr>
        <w:t>State v. Cunningham</w:t>
      </w:r>
      <w:r>
        <w:rPr>
          <w:sz w:val="23"/>
          <w:szCs w:val="23"/>
        </w:rPr>
        <w:t xml:space="preserve">, 108 </w:t>
      </w:r>
      <w:proofErr w:type="spellStart"/>
      <w:r>
        <w:rPr>
          <w:sz w:val="23"/>
          <w:szCs w:val="23"/>
        </w:rPr>
        <w:t>N.C.App</w:t>
      </w:r>
      <w:proofErr w:type="spellEnd"/>
      <w:r>
        <w:rPr>
          <w:sz w:val="23"/>
          <w:szCs w:val="23"/>
        </w:rPr>
        <w:t xml:space="preserve">. 185, 423 S.E.2d 802 (1992); </w:t>
      </w:r>
      <w:r>
        <w:rPr>
          <w:b/>
          <w:bCs/>
          <w:i/>
          <w:iCs/>
          <w:sz w:val="23"/>
          <w:szCs w:val="23"/>
        </w:rPr>
        <w:t>State vs. Dunn</w:t>
      </w:r>
      <w:r>
        <w:rPr>
          <w:sz w:val="23"/>
          <w:szCs w:val="23"/>
        </w:rPr>
        <w:t xml:space="preserve">, 154 </w:t>
      </w:r>
      <w:proofErr w:type="spellStart"/>
      <w:r>
        <w:rPr>
          <w:sz w:val="23"/>
          <w:szCs w:val="23"/>
        </w:rPr>
        <w:t>N.C.App</w:t>
      </w:r>
      <w:proofErr w:type="spellEnd"/>
      <w:r>
        <w:rPr>
          <w:sz w:val="23"/>
          <w:szCs w:val="23"/>
        </w:rPr>
        <w:t xml:space="preserve">. 1, 571 S.E.2d 650 (2002); </w:t>
      </w:r>
      <w:r>
        <w:rPr>
          <w:b/>
          <w:bCs/>
          <w:i/>
          <w:iCs/>
          <w:sz w:val="23"/>
          <w:szCs w:val="23"/>
        </w:rPr>
        <w:t>State v. Fair</w:t>
      </w:r>
      <w:r>
        <w:rPr>
          <w:sz w:val="23"/>
          <w:szCs w:val="23"/>
        </w:rPr>
        <w:t xml:space="preserve">, 164 </w:t>
      </w:r>
      <w:proofErr w:type="spellStart"/>
      <w:r>
        <w:rPr>
          <w:sz w:val="23"/>
          <w:szCs w:val="23"/>
        </w:rPr>
        <w:t>N.C.App</w:t>
      </w:r>
      <w:proofErr w:type="spellEnd"/>
      <w:r>
        <w:rPr>
          <w:sz w:val="23"/>
          <w:szCs w:val="23"/>
        </w:rPr>
        <w:t xml:space="preserve">. 770 (2004); and </w:t>
      </w:r>
      <w:r>
        <w:rPr>
          <w:b/>
          <w:bCs/>
          <w:i/>
          <w:iCs/>
          <w:sz w:val="23"/>
          <w:szCs w:val="23"/>
        </w:rPr>
        <w:t>State v. Edwards</w:t>
      </w:r>
      <w:r>
        <w:rPr>
          <w:sz w:val="23"/>
          <w:szCs w:val="23"/>
        </w:rPr>
        <w:t xml:space="preserve">, 174 </w:t>
      </w:r>
      <w:proofErr w:type="spellStart"/>
      <w:r>
        <w:rPr>
          <w:sz w:val="23"/>
          <w:szCs w:val="23"/>
        </w:rPr>
        <w:t>N.C.App</w:t>
      </w:r>
      <w:proofErr w:type="spellEnd"/>
      <w:r>
        <w:rPr>
          <w:sz w:val="23"/>
          <w:szCs w:val="23"/>
        </w:rPr>
        <w:t xml:space="preserve">. 490, 621 S.E.2d 333 (2005), for an Order requiring the State to disclose to the defense the underlying basis for the opinions of any witnesses the State intends to call to present evidence of a scientific nature in these matters. In support of the foregoing Motion, the Defendant would show unto the Court as follows: </w:t>
      </w:r>
    </w:p>
    <w:p w:rsidR="00044152" w:rsidRDefault="00044152" w:rsidP="00044152">
      <w:pPr>
        <w:pStyle w:val="Default"/>
        <w:jc w:val="both"/>
        <w:rPr>
          <w:sz w:val="23"/>
          <w:szCs w:val="23"/>
        </w:rPr>
      </w:pPr>
    </w:p>
    <w:p w:rsidR="00044152" w:rsidRDefault="00044152" w:rsidP="00044152">
      <w:pPr>
        <w:pStyle w:val="Default"/>
        <w:ind w:left="990" w:hanging="270"/>
        <w:jc w:val="both"/>
        <w:rPr>
          <w:sz w:val="23"/>
          <w:szCs w:val="23"/>
        </w:rPr>
      </w:pPr>
      <w:r>
        <w:rPr>
          <w:sz w:val="23"/>
          <w:szCs w:val="23"/>
        </w:rPr>
        <w:t xml:space="preserve">1. The Defendant is charged with one count of Attempted First-Degree Murder, one count of Assault with a Deadly Weapon with Intent to Kill Inflicting Serious Injury, and one count of First Degree Arson.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2. Upon information and belief, and based on the discovery provided thus far by the prosecution, the Defendant believes the prosecution will call one or more witnesses from the North Carolina State </w:t>
      </w:r>
      <w:r w:rsidR="00403769">
        <w:rPr>
          <w:sz w:val="23"/>
          <w:szCs w:val="23"/>
        </w:rPr>
        <w:t>Crime Laboratory</w:t>
      </w:r>
      <w:r>
        <w:rPr>
          <w:sz w:val="23"/>
          <w:szCs w:val="23"/>
        </w:rPr>
        <w:t xml:space="preserve"> as an expert(s) in arson investigation and chemical analysis.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3. Specifically, on May 4, 2010, the defense received copies of laboratory reports from the North Carolina </w:t>
      </w:r>
      <w:r w:rsidR="00403769">
        <w:rPr>
          <w:sz w:val="23"/>
          <w:szCs w:val="23"/>
        </w:rPr>
        <w:t xml:space="preserve">State Crime Laboratory </w:t>
      </w:r>
      <w:r>
        <w:rPr>
          <w:sz w:val="23"/>
          <w:szCs w:val="23"/>
        </w:rPr>
        <w:t>(hereinafter referred to as the NC</w:t>
      </w:r>
      <w:r w:rsidR="00403769">
        <w:rPr>
          <w:sz w:val="23"/>
          <w:szCs w:val="23"/>
        </w:rPr>
        <w:t>SCL</w:t>
      </w:r>
      <w:r>
        <w:rPr>
          <w:sz w:val="23"/>
          <w:szCs w:val="23"/>
        </w:rPr>
        <w:t xml:space="preserve">) which were signed by an individual named Agent X.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4. According to the </w:t>
      </w:r>
      <w:r w:rsidR="00403769">
        <w:rPr>
          <w:sz w:val="23"/>
          <w:szCs w:val="23"/>
        </w:rPr>
        <w:t>NCSCL</w:t>
      </w:r>
      <w:r>
        <w:rPr>
          <w:sz w:val="23"/>
          <w:szCs w:val="23"/>
        </w:rPr>
        <w:t xml:space="preserve"> laboratory reports of </w:t>
      </w:r>
      <w:r w:rsidR="00403769">
        <w:rPr>
          <w:sz w:val="23"/>
          <w:szCs w:val="23"/>
        </w:rPr>
        <w:t>Agent X</w:t>
      </w:r>
      <w:r>
        <w:rPr>
          <w:sz w:val="23"/>
          <w:szCs w:val="23"/>
        </w:rPr>
        <w:t xml:space="preserve">, items of evidence, seized during the course of the investigation of the crimes allegedly committed by the Defendant, were submitted by the Raleigh Police Department on September 16, 2009 and September 23, 2009. </w:t>
      </w:r>
    </w:p>
    <w:p w:rsidR="00044152" w:rsidRDefault="00044152" w:rsidP="00044152">
      <w:pPr>
        <w:pStyle w:val="Default"/>
        <w:pageBreakBefore/>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5. Upon information and belief, on September 16, 2009 the Raleigh Police Department submitted the following items to the </w:t>
      </w:r>
      <w:r w:rsidR="00403769">
        <w:rPr>
          <w:sz w:val="23"/>
          <w:szCs w:val="23"/>
        </w:rPr>
        <w:t>NCSCL</w:t>
      </w:r>
      <w:r>
        <w:rPr>
          <w:sz w:val="23"/>
          <w:szCs w:val="23"/>
        </w:rPr>
        <w:t xml:space="preserve"> laboratory for an examination for the presence of ignitable liquids: </w:t>
      </w:r>
    </w:p>
    <w:p w:rsidR="00044152" w:rsidRDefault="00044152" w:rsidP="00044152">
      <w:pPr>
        <w:pStyle w:val="Default"/>
        <w:ind w:left="990" w:hanging="270"/>
        <w:rPr>
          <w:sz w:val="23"/>
          <w:szCs w:val="23"/>
        </w:rPr>
      </w:pPr>
    </w:p>
    <w:p w:rsidR="00044152" w:rsidRDefault="00044152" w:rsidP="00044152">
      <w:pPr>
        <w:pStyle w:val="Default"/>
        <w:ind w:left="990"/>
        <w:jc w:val="both"/>
        <w:rPr>
          <w:sz w:val="23"/>
          <w:szCs w:val="23"/>
        </w:rPr>
      </w:pPr>
      <w:r>
        <w:rPr>
          <w:sz w:val="23"/>
          <w:szCs w:val="23"/>
        </w:rPr>
        <w:t xml:space="preserve">a. Nylon bag containing carpet; </w:t>
      </w:r>
    </w:p>
    <w:p w:rsidR="00044152" w:rsidRDefault="00044152" w:rsidP="00044152">
      <w:pPr>
        <w:pStyle w:val="Default"/>
        <w:ind w:left="990"/>
        <w:jc w:val="both"/>
        <w:rPr>
          <w:sz w:val="23"/>
          <w:szCs w:val="23"/>
        </w:rPr>
      </w:pPr>
      <w:r>
        <w:rPr>
          <w:sz w:val="23"/>
          <w:szCs w:val="23"/>
        </w:rPr>
        <w:t xml:space="preserve">b. Nylon bag containing clothing consisting of a pink shirt; </w:t>
      </w:r>
    </w:p>
    <w:p w:rsidR="00044152" w:rsidRDefault="00044152" w:rsidP="00044152">
      <w:pPr>
        <w:pStyle w:val="Default"/>
        <w:ind w:left="990"/>
        <w:jc w:val="both"/>
        <w:rPr>
          <w:sz w:val="23"/>
          <w:szCs w:val="23"/>
        </w:rPr>
      </w:pPr>
      <w:r>
        <w:rPr>
          <w:sz w:val="23"/>
          <w:szCs w:val="23"/>
        </w:rPr>
        <w:t xml:space="preserve">c. Nylon bag containing clothing consisting of pants; </w:t>
      </w:r>
    </w:p>
    <w:p w:rsidR="00044152" w:rsidRDefault="00044152" w:rsidP="00044152">
      <w:pPr>
        <w:pStyle w:val="Default"/>
        <w:ind w:left="990"/>
        <w:jc w:val="both"/>
        <w:rPr>
          <w:sz w:val="23"/>
          <w:szCs w:val="23"/>
        </w:rPr>
      </w:pPr>
      <w:r>
        <w:rPr>
          <w:sz w:val="23"/>
          <w:szCs w:val="23"/>
        </w:rPr>
        <w:t xml:space="preserve">d. Nylon bag containing clothing consisting of a shirt; </w:t>
      </w:r>
    </w:p>
    <w:p w:rsidR="00044152" w:rsidRDefault="00044152" w:rsidP="00044152">
      <w:pPr>
        <w:pStyle w:val="Default"/>
        <w:ind w:left="990"/>
        <w:jc w:val="both"/>
        <w:rPr>
          <w:sz w:val="23"/>
          <w:szCs w:val="23"/>
        </w:rPr>
      </w:pPr>
      <w:r>
        <w:rPr>
          <w:sz w:val="23"/>
          <w:szCs w:val="23"/>
        </w:rPr>
        <w:t xml:space="preserve">e. Nylon bag/gauze pad which contained a sample of a liquid.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6. Upon information and belief, on September 23, 2009, the Raleigh Police Department submitted the following items to the </w:t>
      </w:r>
      <w:r w:rsidR="00403769">
        <w:rPr>
          <w:sz w:val="23"/>
          <w:szCs w:val="23"/>
        </w:rPr>
        <w:t>NCSCL</w:t>
      </w:r>
      <w:r>
        <w:rPr>
          <w:sz w:val="23"/>
          <w:szCs w:val="23"/>
        </w:rPr>
        <w:t xml:space="preserve"> laboratory for an examination for the presence of ignitable liquids: </w:t>
      </w:r>
    </w:p>
    <w:p w:rsidR="00044152" w:rsidRDefault="00044152" w:rsidP="00044152">
      <w:pPr>
        <w:pStyle w:val="Default"/>
        <w:ind w:left="990" w:hanging="270"/>
        <w:rPr>
          <w:sz w:val="23"/>
          <w:szCs w:val="23"/>
        </w:rPr>
      </w:pPr>
    </w:p>
    <w:p w:rsidR="00044152" w:rsidRDefault="00044152" w:rsidP="00044152">
      <w:pPr>
        <w:pStyle w:val="Default"/>
        <w:ind w:left="990"/>
        <w:jc w:val="both"/>
        <w:rPr>
          <w:sz w:val="23"/>
          <w:szCs w:val="23"/>
        </w:rPr>
      </w:pPr>
      <w:r>
        <w:rPr>
          <w:sz w:val="23"/>
          <w:szCs w:val="23"/>
        </w:rPr>
        <w:t xml:space="preserve">a. Nylon bag containing tennis shoes; </w:t>
      </w:r>
    </w:p>
    <w:p w:rsidR="00044152" w:rsidRDefault="00044152" w:rsidP="00044152">
      <w:pPr>
        <w:pStyle w:val="Default"/>
        <w:ind w:left="990"/>
        <w:jc w:val="both"/>
        <w:rPr>
          <w:sz w:val="23"/>
          <w:szCs w:val="23"/>
        </w:rPr>
      </w:pPr>
      <w:r>
        <w:rPr>
          <w:sz w:val="23"/>
          <w:szCs w:val="23"/>
        </w:rPr>
        <w:t xml:space="preserve">b. Nylon bag containing pants, t-shirt, and boxers.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7. Further, according to the lab reports of the </w:t>
      </w:r>
      <w:r w:rsidR="00403769">
        <w:rPr>
          <w:sz w:val="23"/>
          <w:szCs w:val="23"/>
        </w:rPr>
        <w:t>NCSCL</w:t>
      </w:r>
      <w:r>
        <w:rPr>
          <w:sz w:val="23"/>
          <w:szCs w:val="23"/>
        </w:rPr>
        <w:t xml:space="preserve">, examinations were, in fact, conducted on the items submitted to determine whether gasoline and/or other flammable materials were present on the items submitted.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8. The two laboratory reports generated by the </w:t>
      </w:r>
      <w:r w:rsidR="00403769">
        <w:rPr>
          <w:sz w:val="23"/>
          <w:szCs w:val="23"/>
        </w:rPr>
        <w:t>NCSCL</w:t>
      </w:r>
      <w:r>
        <w:rPr>
          <w:sz w:val="23"/>
          <w:szCs w:val="23"/>
        </w:rPr>
        <w:t xml:space="preserve"> laboratory, both of which are dated October 30, 2009, indicate that residual gasoline, an n-alkaline product, and hydrocarbons were detected on the items submitted by the Raleigh Police Department.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9. The </w:t>
      </w:r>
      <w:r w:rsidR="00403769">
        <w:rPr>
          <w:sz w:val="23"/>
          <w:szCs w:val="23"/>
        </w:rPr>
        <w:t>NCSCL</w:t>
      </w:r>
      <w:r>
        <w:rPr>
          <w:sz w:val="23"/>
          <w:szCs w:val="23"/>
        </w:rPr>
        <w:t xml:space="preserve"> laboratory reports do not include any reference to the type(s) of examination(s) and/or test(s) which were conducted on the items submitted by the Raleigh Police Department.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10. The </w:t>
      </w:r>
      <w:r w:rsidR="00403769">
        <w:rPr>
          <w:sz w:val="23"/>
          <w:szCs w:val="23"/>
        </w:rPr>
        <w:t>NCSCL</w:t>
      </w:r>
      <w:r>
        <w:rPr>
          <w:sz w:val="23"/>
          <w:szCs w:val="23"/>
        </w:rPr>
        <w:t xml:space="preserve"> laboratory reports do not include any reference to the procedures and/or </w:t>
      </w:r>
      <w:proofErr w:type="gramStart"/>
      <w:r>
        <w:rPr>
          <w:sz w:val="23"/>
          <w:szCs w:val="23"/>
        </w:rPr>
        <w:t>protocols</w:t>
      </w:r>
      <w:proofErr w:type="gramEnd"/>
      <w:r>
        <w:rPr>
          <w:sz w:val="23"/>
          <w:szCs w:val="23"/>
        </w:rPr>
        <w:t xml:space="preserve"> that were used to conduct said examination(s) and/or test(s) on the items submitted by the Raleigh Police Department.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11. The </w:t>
      </w:r>
      <w:r w:rsidR="00403769">
        <w:rPr>
          <w:sz w:val="23"/>
          <w:szCs w:val="23"/>
        </w:rPr>
        <w:t>NCSCL</w:t>
      </w:r>
      <w:r>
        <w:rPr>
          <w:sz w:val="23"/>
          <w:szCs w:val="23"/>
        </w:rPr>
        <w:t xml:space="preserve"> laboratory reports do not include the underlying bases for the conclusions reached and/or the opinions rendered by Agent X with respect to the items submitted by the Raleigh Police Department.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12. The laboratory reports of the </w:t>
      </w:r>
      <w:r w:rsidR="00403769">
        <w:rPr>
          <w:sz w:val="23"/>
          <w:szCs w:val="23"/>
        </w:rPr>
        <w:t>NCSCL</w:t>
      </w:r>
      <w:r>
        <w:rPr>
          <w:sz w:val="23"/>
          <w:szCs w:val="23"/>
        </w:rPr>
        <w:t xml:space="preserve"> contain only the conclusions reached by Agent X and do not contain any reference explaining the underlying bases for the conclusions asserted in the reports. </w:t>
      </w:r>
    </w:p>
    <w:p w:rsidR="00044152" w:rsidRDefault="00044152" w:rsidP="00044152">
      <w:pPr>
        <w:pStyle w:val="Default"/>
        <w:pageBreakBefore/>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13. Pursuant to the legal authorities cited in the preamble of this Motion, the Defendant hereby moves the Court to enter and Order commanding the prosecution to provide the following information within ten days prior to the trial of these matters: </w:t>
      </w:r>
    </w:p>
    <w:p w:rsidR="00044152" w:rsidRDefault="00044152" w:rsidP="00044152">
      <w:pPr>
        <w:pStyle w:val="Default"/>
        <w:ind w:left="990" w:hanging="270"/>
        <w:rPr>
          <w:sz w:val="23"/>
          <w:szCs w:val="23"/>
        </w:rPr>
      </w:pPr>
    </w:p>
    <w:p w:rsidR="00044152" w:rsidRDefault="00044152" w:rsidP="00044152">
      <w:pPr>
        <w:pStyle w:val="Default"/>
        <w:ind w:left="990"/>
        <w:jc w:val="both"/>
        <w:rPr>
          <w:sz w:val="23"/>
          <w:szCs w:val="23"/>
        </w:rPr>
      </w:pPr>
      <w:r>
        <w:rPr>
          <w:sz w:val="23"/>
          <w:szCs w:val="23"/>
        </w:rPr>
        <w:t xml:space="preserve">a. Any and all scientific conclusions the State intends to offer at trial in addition to those referenced in paragraphs 1 through 12 above;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b. The identity and curriculum vitae of any experts the State intends to call as expert witnesses in the trial of these matters, including, but not limited to, Agent X;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c. Any and all bases for said scientific conclusions, including, but not limited to, the conclusions of Agent X as set forth in the </w:t>
      </w:r>
      <w:r w:rsidR="00403769">
        <w:rPr>
          <w:sz w:val="23"/>
          <w:szCs w:val="23"/>
        </w:rPr>
        <w:t>NCSCL</w:t>
      </w:r>
      <w:r>
        <w:rPr>
          <w:sz w:val="23"/>
          <w:szCs w:val="23"/>
        </w:rPr>
        <w:t xml:space="preserve"> laboratory reports of October 30, 2009;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d. Any and all procedures and tests used to reach said conclusions;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e. Any and all data generated by the procedures and used to reach said conclusions;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f. Any and all procedures the State’s expert(s) should have used to reach said conclusions; such procedures generally being termed “protocols”;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g. Any and all information concerning the chain of custody and transfer of all evidence; and </w:t>
      </w:r>
    </w:p>
    <w:p w:rsidR="00044152" w:rsidRDefault="00044152" w:rsidP="00044152">
      <w:pPr>
        <w:pStyle w:val="Default"/>
        <w:ind w:left="990"/>
        <w:rPr>
          <w:sz w:val="23"/>
          <w:szCs w:val="23"/>
        </w:rPr>
      </w:pPr>
    </w:p>
    <w:p w:rsidR="00044152" w:rsidRDefault="00044152" w:rsidP="00044152">
      <w:pPr>
        <w:pStyle w:val="Default"/>
        <w:ind w:left="990"/>
        <w:jc w:val="both"/>
        <w:rPr>
          <w:sz w:val="23"/>
          <w:szCs w:val="23"/>
        </w:rPr>
      </w:pPr>
      <w:r>
        <w:rPr>
          <w:sz w:val="23"/>
          <w:szCs w:val="23"/>
        </w:rPr>
        <w:t xml:space="preserve">h. Any and all reports from the </w:t>
      </w:r>
      <w:r w:rsidR="00403769">
        <w:rPr>
          <w:sz w:val="23"/>
          <w:szCs w:val="23"/>
        </w:rPr>
        <w:t>NCSCL</w:t>
      </w:r>
      <w:r>
        <w:rPr>
          <w:sz w:val="23"/>
          <w:szCs w:val="23"/>
        </w:rPr>
        <w:t xml:space="preserve"> laboratory and/or the </w:t>
      </w:r>
      <w:r w:rsidR="00403769">
        <w:rPr>
          <w:sz w:val="23"/>
          <w:szCs w:val="23"/>
        </w:rPr>
        <w:t>NCSCL</w:t>
      </w:r>
      <w:r>
        <w:rPr>
          <w:sz w:val="23"/>
          <w:szCs w:val="23"/>
        </w:rPr>
        <w:t xml:space="preserve"> related to the investigation of these matters.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14. The requested information/documentation is critical to ensuring that the Defendant’s rights to effective assistance of counsel, confrontation and cross-examination, and due process are provided.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15. At trial, the State may introduce expert opinion regarding the alleged conclusions reached by the </w:t>
      </w:r>
      <w:r w:rsidR="00403769">
        <w:rPr>
          <w:sz w:val="23"/>
          <w:szCs w:val="23"/>
        </w:rPr>
        <w:t>NCSCL</w:t>
      </w:r>
      <w:r>
        <w:rPr>
          <w:sz w:val="23"/>
          <w:szCs w:val="23"/>
        </w:rPr>
        <w:t xml:space="preserve"> laboratory in its reports of October 30, 2009. As the State’s expert will have performed experiments and tests on the items submitted by the Raleigh Police Department, the Defendant would be prejudiced in the trial of these matters if the methods and procedures used by the expert to reach any opinions were not disclosed to the defense.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16. In order to effectively prepare for cross-examination of the State’s expert, the Defendant must have access to the information outlined in paragraph 13(a – h) above. </w:t>
      </w:r>
    </w:p>
    <w:p w:rsidR="00044152" w:rsidRDefault="00044152" w:rsidP="00044152">
      <w:pPr>
        <w:pStyle w:val="Default"/>
        <w:pageBreakBefore/>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17. If the Defendant is not given access to the information outlined in paragraphs 13(a – h) above, the lack of such access will result in a denial of the Defendant’s rights to effective assistance of counsel, confrontation and cross-examination, and due process of law.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18. The Defendant previously requested the type of discovery outlined in paragraph 13(a – h) above in the Defendant’s </w:t>
      </w:r>
      <w:r>
        <w:rPr>
          <w:b/>
          <w:bCs/>
          <w:i/>
          <w:iCs/>
          <w:sz w:val="23"/>
          <w:szCs w:val="23"/>
        </w:rPr>
        <w:t>Motion for Production of Discoverable Materials</w:t>
      </w:r>
      <w:r>
        <w:rPr>
          <w:sz w:val="23"/>
          <w:szCs w:val="23"/>
        </w:rPr>
        <w:t xml:space="preserve">, filed on October 29, 2009.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19. </w:t>
      </w:r>
      <w:proofErr w:type="gramStart"/>
      <w:r>
        <w:rPr>
          <w:sz w:val="23"/>
          <w:szCs w:val="23"/>
        </w:rPr>
        <w:t>In</w:t>
      </w:r>
      <w:proofErr w:type="gramEnd"/>
      <w:r>
        <w:rPr>
          <w:sz w:val="23"/>
          <w:szCs w:val="23"/>
        </w:rPr>
        <w:t xml:space="preserve"> </w:t>
      </w:r>
      <w:r>
        <w:rPr>
          <w:b/>
          <w:bCs/>
          <w:i/>
          <w:iCs/>
          <w:sz w:val="23"/>
          <w:szCs w:val="23"/>
        </w:rPr>
        <w:t>State v. Cunningham</w:t>
      </w:r>
      <w:r>
        <w:rPr>
          <w:sz w:val="23"/>
          <w:szCs w:val="23"/>
        </w:rPr>
        <w:t xml:space="preserve">, 108 </w:t>
      </w:r>
      <w:proofErr w:type="spellStart"/>
      <w:r>
        <w:rPr>
          <w:sz w:val="23"/>
          <w:szCs w:val="23"/>
        </w:rPr>
        <w:t>N.C.App</w:t>
      </w:r>
      <w:proofErr w:type="spellEnd"/>
      <w:r>
        <w:rPr>
          <w:sz w:val="23"/>
          <w:szCs w:val="23"/>
        </w:rPr>
        <w:t>. 185, 423 S.E.2d 802 (1992), the Court of Appeals, in holding that defendants are entitled to “pretrial discovery of not only conclusory lab report, but also of any tests performed or procedures utilized…to reach such conclusion”, the Court also held the scope of discovery to encompass the materials necessary to enable a defendant to determine that “the tests performed were appropriate and to become familiar with the test procedures.” (</w:t>
      </w:r>
      <w:proofErr w:type="gramStart"/>
      <w:r>
        <w:rPr>
          <w:sz w:val="23"/>
          <w:szCs w:val="23"/>
        </w:rPr>
        <w:t>citing</w:t>
      </w:r>
      <w:proofErr w:type="gramEnd"/>
      <w:r>
        <w:rPr>
          <w:sz w:val="23"/>
          <w:szCs w:val="23"/>
        </w:rPr>
        <w:t xml:space="preserve"> 2 A.B.A. Standards for Criminal Justice, Commentary to Standard 11-2.1(a)(iv)2d.ed. 1980 &amp; Supp. 1986).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20. </w:t>
      </w:r>
      <w:proofErr w:type="gramStart"/>
      <w:r>
        <w:rPr>
          <w:sz w:val="23"/>
          <w:szCs w:val="23"/>
        </w:rPr>
        <w:t>In</w:t>
      </w:r>
      <w:proofErr w:type="gramEnd"/>
      <w:r>
        <w:rPr>
          <w:sz w:val="23"/>
          <w:szCs w:val="23"/>
        </w:rPr>
        <w:t xml:space="preserve"> </w:t>
      </w:r>
      <w:r>
        <w:rPr>
          <w:b/>
          <w:bCs/>
          <w:i/>
          <w:iCs/>
          <w:sz w:val="23"/>
          <w:szCs w:val="23"/>
        </w:rPr>
        <w:t>State v. Dunn</w:t>
      </w:r>
      <w:r>
        <w:rPr>
          <w:sz w:val="23"/>
          <w:szCs w:val="23"/>
        </w:rPr>
        <w:t xml:space="preserve">, 154 </w:t>
      </w:r>
      <w:proofErr w:type="spellStart"/>
      <w:r>
        <w:rPr>
          <w:sz w:val="23"/>
          <w:szCs w:val="23"/>
        </w:rPr>
        <w:t>N.C.App</w:t>
      </w:r>
      <w:proofErr w:type="spellEnd"/>
      <w:r>
        <w:rPr>
          <w:sz w:val="23"/>
          <w:szCs w:val="23"/>
        </w:rPr>
        <w:t xml:space="preserve">. 1, 571 S.E.2d 650 (2002), the defendant argued that the trial court erred “in failing to provide defendant discovery information pertaining to laboratory protocols, incidences of false positive results, quality control and quality assurance, and proficiency tests of the State </w:t>
      </w:r>
      <w:bookmarkStart w:id="0" w:name="_GoBack"/>
      <w:r>
        <w:rPr>
          <w:sz w:val="23"/>
          <w:szCs w:val="23"/>
        </w:rPr>
        <w:t>Bur</w:t>
      </w:r>
      <w:bookmarkEnd w:id="0"/>
      <w:r>
        <w:rPr>
          <w:sz w:val="23"/>
          <w:szCs w:val="23"/>
        </w:rPr>
        <w:t xml:space="preserve">eau of Investigation laboratory…”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21. In </w:t>
      </w:r>
      <w:r>
        <w:rPr>
          <w:b/>
          <w:bCs/>
          <w:i/>
          <w:iCs/>
          <w:sz w:val="23"/>
          <w:szCs w:val="23"/>
        </w:rPr>
        <w:t>Dunn</w:t>
      </w:r>
      <w:r>
        <w:rPr>
          <w:sz w:val="23"/>
          <w:szCs w:val="23"/>
        </w:rPr>
        <w:t xml:space="preserve">, the Court of Appeals said the defendant was entitled to such information and ordered a new trial.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22. In order to ensure that the Defendant’s constitutional rights are afforded, the Court should order the State to disclose to the defense all of the information outlined in paragraphs 13(a – h) above. </w:t>
      </w:r>
    </w:p>
    <w:p w:rsidR="00044152" w:rsidRDefault="00044152" w:rsidP="00044152">
      <w:pPr>
        <w:pStyle w:val="Default"/>
        <w:rPr>
          <w:sz w:val="23"/>
          <w:szCs w:val="23"/>
        </w:rPr>
      </w:pPr>
    </w:p>
    <w:p w:rsidR="00044152" w:rsidRDefault="00044152" w:rsidP="00044152">
      <w:pPr>
        <w:pStyle w:val="Default"/>
        <w:ind w:left="720"/>
        <w:jc w:val="both"/>
        <w:rPr>
          <w:sz w:val="23"/>
          <w:szCs w:val="23"/>
        </w:rPr>
      </w:pPr>
      <w:r>
        <w:rPr>
          <w:b/>
          <w:bCs/>
          <w:sz w:val="23"/>
          <w:szCs w:val="23"/>
        </w:rPr>
        <w:t>WHEREFORE</w:t>
      </w:r>
      <w:r>
        <w:rPr>
          <w:sz w:val="23"/>
          <w:szCs w:val="23"/>
        </w:rPr>
        <w:t xml:space="preserve">, the Defendant respectfully prays unto this Court for the following relief: </w:t>
      </w:r>
    </w:p>
    <w:p w:rsidR="00044152" w:rsidRDefault="00044152" w:rsidP="00044152">
      <w:pPr>
        <w:pStyle w:val="Default"/>
        <w:ind w:left="720"/>
        <w:jc w:val="both"/>
        <w:rPr>
          <w:sz w:val="23"/>
          <w:szCs w:val="23"/>
        </w:rPr>
      </w:pPr>
    </w:p>
    <w:p w:rsidR="00044152" w:rsidRDefault="00044152" w:rsidP="00044152">
      <w:pPr>
        <w:pStyle w:val="Default"/>
        <w:ind w:left="990" w:hanging="270"/>
        <w:jc w:val="both"/>
        <w:rPr>
          <w:sz w:val="23"/>
          <w:szCs w:val="23"/>
        </w:rPr>
      </w:pPr>
      <w:r>
        <w:rPr>
          <w:sz w:val="23"/>
          <w:szCs w:val="23"/>
        </w:rPr>
        <w:t xml:space="preserve">1. That the Court enter an Order requiring the prosecution to provide the defense with the information outlined in paragraphs 13(a – h) above; and </w:t>
      </w:r>
    </w:p>
    <w:p w:rsidR="00044152" w:rsidRDefault="00044152" w:rsidP="00044152">
      <w:pPr>
        <w:pStyle w:val="Default"/>
        <w:ind w:left="990" w:hanging="270"/>
        <w:rPr>
          <w:sz w:val="23"/>
          <w:szCs w:val="23"/>
        </w:rPr>
      </w:pPr>
    </w:p>
    <w:p w:rsidR="00044152" w:rsidRDefault="00044152" w:rsidP="00044152">
      <w:pPr>
        <w:pStyle w:val="Default"/>
        <w:ind w:left="990" w:hanging="270"/>
        <w:jc w:val="both"/>
        <w:rPr>
          <w:sz w:val="23"/>
          <w:szCs w:val="23"/>
        </w:rPr>
      </w:pPr>
      <w:r>
        <w:rPr>
          <w:sz w:val="23"/>
          <w:szCs w:val="23"/>
        </w:rPr>
        <w:t xml:space="preserve">2. </w:t>
      </w:r>
      <w:proofErr w:type="gramStart"/>
      <w:r>
        <w:rPr>
          <w:sz w:val="23"/>
          <w:szCs w:val="23"/>
        </w:rPr>
        <w:t>For</w:t>
      </w:r>
      <w:proofErr w:type="gramEnd"/>
      <w:r>
        <w:rPr>
          <w:sz w:val="23"/>
          <w:szCs w:val="23"/>
        </w:rPr>
        <w:t xml:space="preserve"> such other and further relief to which the Defendant may be entitled and which the Court may deem just and proper. </w:t>
      </w:r>
    </w:p>
    <w:p w:rsidR="00044152" w:rsidRDefault="00044152" w:rsidP="00044152">
      <w:pPr>
        <w:pStyle w:val="Default"/>
        <w:pageBreakBefore/>
        <w:ind w:left="720"/>
        <w:jc w:val="both"/>
        <w:rPr>
          <w:sz w:val="23"/>
          <w:szCs w:val="23"/>
        </w:rPr>
      </w:pPr>
      <w:r>
        <w:rPr>
          <w:sz w:val="23"/>
          <w:szCs w:val="23"/>
        </w:rPr>
        <w:t>This the 16</w:t>
      </w:r>
      <w:proofErr w:type="spellStart"/>
      <w:r>
        <w:rPr>
          <w:position w:val="10"/>
          <w:sz w:val="23"/>
          <w:szCs w:val="23"/>
          <w:vertAlign w:val="superscript"/>
        </w:rPr>
        <w:t>th</w:t>
      </w:r>
      <w:proofErr w:type="spellEnd"/>
      <w:r>
        <w:rPr>
          <w:position w:val="10"/>
          <w:sz w:val="23"/>
          <w:szCs w:val="23"/>
          <w:vertAlign w:val="superscript"/>
        </w:rPr>
        <w:t xml:space="preserve"> </w:t>
      </w:r>
      <w:r>
        <w:rPr>
          <w:sz w:val="23"/>
          <w:szCs w:val="23"/>
        </w:rPr>
        <w:t xml:space="preserve">day of May 2010. </w:t>
      </w:r>
    </w:p>
    <w:p w:rsidR="00044152" w:rsidRDefault="00044152" w:rsidP="00044152">
      <w:pPr>
        <w:pStyle w:val="Default"/>
        <w:jc w:val="both"/>
        <w:rPr>
          <w:sz w:val="23"/>
          <w:szCs w:val="23"/>
        </w:rPr>
      </w:pPr>
    </w:p>
    <w:p w:rsidR="00044152" w:rsidRDefault="00044152" w:rsidP="00044152">
      <w:pPr>
        <w:pStyle w:val="Default"/>
        <w:ind w:left="4320" w:firstLine="720"/>
        <w:jc w:val="both"/>
        <w:rPr>
          <w:sz w:val="23"/>
          <w:szCs w:val="23"/>
        </w:rPr>
      </w:pPr>
      <w:r>
        <w:rPr>
          <w:sz w:val="23"/>
          <w:szCs w:val="23"/>
        </w:rPr>
        <w:t xml:space="preserve">By: ________________________________ </w:t>
      </w:r>
    </w:p>
    <w:p w:rsidR="00044152" w:rsidRDefault="00044152" w:rsidP="00044152">
      <w:pPr>
        <w:pStyle w:val="Default"/>
        <w:ind w:left="4320" w:firstLine="720"/>
        <w:jc w:val="both"/>
        <w:rPr>
          <w:sz w:val="23"/>
          <w:szCs w:val="23"/>
        </w:rPr>
      </w:pPr>
      <w:r>
        <w:rPr>
          <w:sz w:val="23"/>
          <w:szCs w:val="23"/>
        </w:rPr>
        <w:t xml:space="preserve">Attorney for the Defendant </w:t>
      </w:r>
    </w:p>
    <w:p w:rsidR="00044152" w:rsidRDefault="00044152" w:rsidP="00044152">
      <w:pPr>
        <w:pStyle w:val="Default"/>
        <w:ind w:left="4320" w:firstLine="720"/>
        <w:jc w:val="both"/>
        <w:rPr>
          <w:sz w:val="23"/>
          <w:szCs w:val="23"/>
        </w:rPr>
      </w:pPr>
      <w:r>
        <w:rPr>
          <w:sz w:val="23"/>
          <w:szCs w:val="23"/>
        </w:rPr>
        <w:t xml:space="preserve">Telephone: </w:t>
      </w:r>
    </w:p>
    <w:p w:rsidR="00044152" w:rsidRDefault="00044152" w:rsidP="00044152">
      <w:pPr>
        <w:pStyle w:val="Default"/>
        <w:ind w:left="4320" w:firstLine="720"/>
        <w:jc w:val="both"/>
        <w:rPr>
          <w:sz w:val="23"/>
          <w:szCs w:val="23"/>
        </w:rPr>
      </w:pPr>
      <w:r>
        <w:rPr>
          <w:sz w:val="23"/>
          <w:szCs w:val="23"/>
        </w:rPr>
        <w:t xml:space="preserve">Facsimile: </w:t>
      </w:r>
    </w:p>
    <w:p w:rsidR="00044152" w:rsidRDefault="00044152" w:rsidP="00044152">
      <w:pPr>
        <w:pStyle w:val="Default"/>
        <w:ind w:left="4320" w:firstLine="720"/>
        <w:jc w:val="both"/>
        <w:rPr>
          <w:sz w:val="23"/>
          <w:szCs w:val="23"/>
        </w:rPr>
      </w:pPr>
      <w:r>
        <w:rPr>
          <w:sz w:val="23"/>
          <w:szCs w:val="23"/>
        </w:rPr>
        <w:t xml:space="preserve">Email: </w:t>
      </w:r>
    </w:p>
    <w:p w:rsidR="00044152" w:rsidRDefault="00044152" w:rsidP="00044152">
      <w:pPr>
        <w:pStyle w:val="Default"/>
        <w:pageBreakBefore/>
        <w:spacing w:before="240" w:after="60"/>
        <w:jc w:val="center"/>
        <w:rPr>
          <w:rFonts w:ascii="Arial" w:hAnsi="Arial" w:cs="Arial"/>
          <w:sz w:val="23"/>
          <w:szCs w:val="23"/>
        </w:rPr>
      </w:pPr>
      <w:r>
        <w:rPr>
          <w:rFonts w:ascii="Arial" w:hAnsi="Arial" w:cs="Arial"/>
          <w:b/>
          <w:bCs/>
          <w:i/>
          <w:iCs/>
          <w:sz w:val="23"/>
          <w:szCs w:val="23"/>
        </w:rPr>
        <w:t xml:space="preserve">Certificate of Service </w:t>
      </w:r>
    </w:p>
    <w:p w:rsidR="00044152" w:rsidRDefault="00044152" w:rsidP="00044152">
      <w:pPr>
        <w:pStyle w:val="Default"/>
        <w:rPr>
          <w:color w:val="auto"/>
        </w:rPr>
      </w:pPr>
    </w:p>
    <w:p w:rsidR="00044152" w:rsidRDefault="00044152" w:rsidP="00044152">
      <w:pPr>
        <w:pStyle w:val="Default"/>
        <w:ind w:firstLine="720"/>
        <w:rPr>
          <w:color w:val="auto"/>
          <w:sz w:val="23"/>
          <w:szCs w:val="23"/>
        </w:rPr>
      </w:pPr>
      <w:r>
        <w:rPr>
          <w:color w:val="auto"/>
          <w:sz w:val="23"/>
          <w:szCs w:val="23"/>
        </w:rPr>
        <w:t xml:space="preserve">This shall certify that a copy of the foregoing </w:t>
      </w:r>
      <w:r>
        <w:rPr>
          <w:b/>
          <w:bCs/>
          <w:i/>
          <w:iCs/>
          <w:color w:val="auto"/>
          <w:sz w:val="23"/>
          <w:szCs w:val="23"/>
        </w:rPr>
        <w:t xml:space="preserve">Motion for Discovery (Laboratory/Scientific Evidence) </w:t>
      </w:r>
      <w:r>
        <w:rPr>
          <w:color w:val="auto"/>
          <w:sz w:val="23"/>
          <w:szCs w:val="23"/>
        </w:rPr>
        <w:t xml:space="preserve">was this day served upon the District Attorney by the following method: </w:t>
      </w:r>
    </w:p>
    <w:p w:rsidR="00044152" w:rsidRDefault="00044152" w:rsidP="00044152">
      <w:pPr>
        <w:pStyle w:val="Default"/>
        <w:ind w:firstLine="720"/>
        <w:rPr>
          <w:color w:val="auto"/>
          <w:sz w:val="23"/>
          <w:szCs w:val="23"/>
        </w:rPr>
      </w:pPr>
    </w:p>
    <w:p w:rsidR="00044152" w:rsidRDefault="00044152" w:rsidP="00044152">
      <w:pPr>
        <w:pStyle w:val="Default"/>
        <w:ind w:left="1350" w:hanging="630"/>
        <w:jc w:val="both"/>
        <w:rPr>
          <w:color w:val="auto"/>
          <w:sz w:val="23"/>
          <w:szCs w:val="23"/>
        </w:rPr>
      </w:pPr>
      <w:r>
        <w:rPr>
          <w:color w:val="auto"/>
          <w:sz w:val="23"/>
          <w:szCs w:val="23"/>
        </w:rPr>
        <w:t xml:space="preserve">_____ depositing a copy hereof in a postpaid wrapper in a post office or official depository under the exclusive care, custody, and control of the United States Postal Service, properly addressed to Office of the District Attorney; </w:t>
      </w:r>
    </w:p>
    <w:p w:rsidR="00044152" w:rsidRDefault="00044152" w:rsidP="00044152">
      <w:pPr>
        <w:pStyle w:val="Default"/>
        <w:ind w:left="1350" w:hanging="630"/>
        <w:jc w:val="both"/>
        <w:rPr>
          <w:color w:val="auto"/>
          <w:sz w:val="23"/>
          <w:szCs w:val="23"/>
        </w:rPr>
      </w:pPr>
    </w:p>
    <w:p w:rsidR="00044152" w:rsidRDefault="00044152" w:rsidP="00044152">
      <w:pPr>
        <w:pStyle w:val="Default"/>
        <w:ind w:left="1350" w:hanging="630"/>
        <w:jc w:val="both"/>
        <w:rPr>
          <w:color w:val="auto"/>
          <w:sz w:val="23"/>
          <w:szCs w:val="23"/>
        </w:rPr>
      </w:pPr>
      <w:r>
        <w:rPr>
          <w:color w:val="auto"/>
          <w:sz w:val="23"/>
          <w:szCs w:val="23"/>
        </w:rPr>
        <w:t xml:space="preserve">_____ </w:t>
      </w:r>
      <w:proofErr w:type="gramStart"/>
      <w:r>
        <w:rPr>
          <w:color w:val="auto"/>
          <w:sz w:val="23"/>
          <w:szCs w:val="23"/>
        </w:rPr>
        <w:t>by</w:t>
      </w:r>
      <w:proofErr w:type="gramEnd"/>
      <w:r>
        <w:rPr>
          <w:color w:val="auto"/>
          <w:sz w:val="23"/>
          <w:szCs w:val="23"/>
        </w:rPr>
        <w:t xml:space="preserve"> personally serving the Office of the District Attorney via hand delivery;</w:t>
      </w:r>
    </w:p>
    <w:p w:rsidR="00044152" w:rsidRDefault="00044152" w:rsidP="00044152">
      <w:pPr>
        <w:pStyle w:val="Default"/>
        <w:ind w:left="1350" w:hanging="630"/>
        <w:jc w:val="both"/>
        <w:rPr>
          <w:color w:val="auto"/>
          <w:sz w:val="23"/>
          <w:szCs w:val="23"/>
        </w:rPr>
      </w:pPr>
    </w:p>
    <w:p w:rsidR="00044152" w:rsidRDefault="00044152" w:rsidP="00044152">
      <w:pPr>
        <w:pStyle w:val="Default"/>
        <w:ind w:left="1350" w:hanging="630"/>
        <w:jc w:val="both"/>
        <w:rPr>
          <w:color w:val="auto"/>
          <w:sz w:val="23"/>
          <w:szCs w:val="23"/>
        </w:rPr>
      </w:pPr>
      <w:r>
        <w:rPr>
          <w:color w:val="auto"/>
          <w:sz w:val="23"/>
          <w:szCs w:val="23"/>
        </w:rPr>
        <w:t xml:space="preserve">_____ </w:t>
      </w:r>
      <w:proofErr w:type="gramStart"/>
      <w:r>
        <w:rPr>
          <w:color w:val="auto"/>
          <w:sz w:val="23"/>
          <w:szCs w:val="23"/>
        </w:rPr>
        <w:t>by</w:t>
      </w:r>
      <w:proofErr w:type="gramEnd"/>
      <w:r>
        <w:rPr>
          <w:color w:val="auto"/>
          <w:sz w:val="23"/>
          <w:szCs w:val="23"/>
        </w:rPr>
        <w:t xml:space="preserve"> transmitting a copy via facsimile transmittal to the Office of the District Attorney; and/or </w:t>
      </w:r>
    </w:p>
    <w:p w:rsidR="00044152" w:rsidRDefault="00044152" w:rsidP="00044152">
      <w:pPr>
        <w:pStyle w:val="Default"/>
        <w:ind w:left="1350" w:hanging="630"/>
        <w:jc w:val="both"/>
        <w:rPr>
          <w:color w:val="auto"/>
          <w:sz w:val="23"/>
          <w:szCs w:val="23"/>
        </w:rPr>
      </w:pPr>
    </w:p>
    <w:p w:rsidR="00044152" w:rsidRDefault="00044152" w:rsidP="00044152">
      <w:pPr>
        <w:pStyle w:val="Default"/>
        <w:ind w:left="1350" w:hanging="630"/>
        <w:jc w:val="both"/>
        <w:rPr>
          <w:color w:val="auto"/>
          <w:sz w:val="23"/>
          <w:szCs w:val="23"/>
        </w:rPr>
      </w:pPr>
      <w:r>
        <w:rPr>
          <w:color w:val="auto"/>
          <w:sz w:val="23"/>
          <w:szCs w:val="23"/>
        </w:rPr>
        <w:t xml:space="preserve">_____ </w:t>
      </w:r>
      <w:proofErr w:type="gramStart"/>
      <w:r>
        <w:rPr>
          <w:color w:val="auto"/>
          <w:sz w:val="23"/>
          <w:szCs w:val="23"/>
        </w:rPr>
        <w:t>by</w:t>
      </w:r>
      <w:proofErr w:type="gramEnd"/>
      <w:r>
        <w:rPr>
          <w:color w:val="auto"/>
          <w:sz w:val="23"/>
          <w:szCs w:val="23"/>
        </w:rPr>
        <w:t xml:space="preserve"> depositing a copy in the box for the Office of the District Attorney maintained by the Clerk of Superior Court. </w:t>
      </w:r>
    </w:p>
    <w:p w:rsidR="00044152" w:rsidRDefault="00044152" w:rsidP="00044152">
      <w:pPr>
        <w:pStyle w:val="Default"/>
        <w:jc w:val="both"/>
        <w:rPr>
          <w:color w:val="auto"/>
          <w:sz w:val="23"/>
          <w:szCs w:val="23"/>
        </w:rPr>
      </w:pPr>
    </w:p>
    <w:p w:rsidR="00044152" w:rsidRDefault="00044152" w:rsidP="00044152">
      <w:pPr>
        <w:pStyle w:val="Default"/>
        <w:jc w:val="both"/>
        <w:rPr>
          <w:color w:val="auto"/>
          <w:sz w:val="23"/>
          <w:szCs w:val="23"/>
        </w:rPr>
      </w:pPr>
      <w:r>
        <w:rPr>
          <w:color w:val="auto"/>
          <w:sz w:val="23"/>
          <w:szCs w:val="23"/>
        </w:rPr>
        <w:t>This the 17</w:t>
      </w:r>
      <w:proofErr w:type="spellStart"/>
      <w:r>
        <w:rPr>
          <w:color w:val="auto"/>
          <w:position w:val="10"/>
          <w:sz w:val="23"/>
          <w:szCs w:val="23"/>
          <w:vertAlign w:val="superscript"/>
        </w:rPr>
        <w:t>th</w:t>
      </w:r>
      <w:proofErr w:type="spellEnd"/>
      <w:r>
        <w:rPr>
          <w:color w:val="auto"/>
          <w:position w:val="10"/>
          <w:sz w:val="23"/>
          <w:szCs w:val="23"/>
          <w:vertAlign w:val="superscript"/>
        </w:rPr>
        <w:t xml:space="preserve"> </w:t>
      </w:r>
      <w:r>
        <w:rPr>
          <w:color w:val="auto"/>
          <w:sz w:val="23"/>
          <w:szCs w:val="23"/>
        </w:rPr>
        <w:t xml:space="preserve">day of May 2010. </w:t>
      </w:r>
    </w:p>
    <w:p w:rsidR="00044152" w:rsidRDefault="00044152" w:rsidP="00044152">
      <w:pPr>
        <w:pStyle w:val="Default"/>
        <w:ind w:left="1440"/>
        <w:jc w:val="both"/>
        <w:rPr>
          <w:color w:val="auto"/>
          <w:sz w:val="23"/>
          <w:szCs w:val="23"/>
        </w:rPr>
      </w:pPr>
    </w:p>
    <w:p w:rsidR="00044152" w:rsidRDefault="00044152" w:rsidP="00044152">
      <w:pPr>
        <w:pStyle w:val="Default"/>
        <w:ind w:left="1440"/>
        <w:jc w:val="both"/>
        <w:rPr>
          <w:color w:val="auto"/>
          <w:sz w:val="23"/>
          <w:szCs w:val="23"/>
        </w:rPr>
      </w:pPr>
    </w:p>
    <w:p w:rsidR="00044152" w:rsidRDefault="00044152" w:rsidP="00044152">
      <w:pPr>
        <w:pStyle w:val="Default"/>
        <w:ind w:left="5760"/>
        <w:jc w:val="both"/>
        <w:rPr>
          <w:color w:val="auto"/>
          <w:sz w:val="23"/>
          <w:szCs w:val="23"/>
        </w:rPr>
      </w:pPr>
      <w:r>
        <w:rPr>
          <w:color w:val="auto"/>
          <w:sz w:val="23"/>
          <w:szCs w:val="23"/>
        </w:rPr>
        <w:t>By</w:t>
      </w:r>
      <w:proofErr w:type="gramStart"/>
      <w:r>
        <w:rPr>
          <w:color w:val="auto"/>
          <w:sz w:val="23"/>
          <w:szCs w:val="23"/>
        </w:rPr>
        <w:t>:_</w:t>
      </w:r>
      <w:proofErr w:type="gramEnd"/>
      <w:r>
        <w:rPr>
          <w:color w:val="auto"/>
          <w:sz w:val="23"/>
          <w:szCs w:val="23"/>
        </w:rPr>
        <w:t xml:space="preserve">__________________________ </w:t>
      </w:r>
    </w:p>
    <w:p w:rsidR="00044152" w:rsidRDefault="00044152" w:rsidP="00044152">
      <w:pPr>
        <w:pStyle w:val="Default"/>
        <w:ind w:left="5760"/>
        <w:jc w:val="both"/>
        <w:rPr>
          <w:color w:val="auto"/>
          <w:sz w:val="23"/>
          <w:szCs w:val="23"/>
        </w:rPr>
      </w:pPr>
      <w:r>
        <w:rPr>
          <w:color w:val="auto"/>
          <w:sz w:val="23"/>
          <w:szCs w:val="23"/>
        </w:rPr>
        <w:t xml:space="preserve">Attorney for the Defendant </w:t>
      </w:r>
    </w:p>
    <w:p w:rsidR="00044152" w:rsidRDefault="00044152" w:rsidP="00044152">
      <w:pPr>
        <w:pStyle w:val="Default"/>
        <w:ind w:left="5760"/>
        <w:jc w:val="both"/>
        <w:rPr>
          <w:color w:val="auto"/>
          <w:sz w:val="23"/>
          <w:szCs w:val="23"/>
        </w:rPr>
      </w:pPr>
      <w:r>
        <w:rPr>
          <w:color w:val="auto"/>
          <w:sz w:val="23"/>
          <w:szCs w:val="23"/>
        </w:rPr>
        <w:t xml:space="preserve">Telephone: </w:t>
      </w:r>
    </w:p>
    <w:p w:rsidR="00044152" w:rsidRDefault="00044152" w:rsidP="00044152">
      <w:pPr>
        <w:pStyle w:val="Default"/>
        <w:ind w:left="5760"/>
        <w:jc w:val="both"/>
        <w:rPr>
          <w:color w:val="auto"/>
          <w:sz w:val="23"/>
          <w:szCs w:val="23"/>
        </w:rPr>
      </w:pPr>
      <w:r>
        <w:rPr>
          <w:color w:val="auto"/>
          <w:sz w:val="23"/>
          <w:szCs w:val="23"/>
        </w:rPr>
        <w:t xml:space="preserve">Facsimile: </w:t>
      </w:r>
    </w:p>
    <w:p w:rsidR="004E2DD8" w:rsidRDefault="00044152" w:rsidP="00044152">
      <w:pPr>
        <w:ind w:left="5760"/>
      </w:pPr>
      <w:r>
        <w:rPr>
          <w:sz w:val="23"/>
          <w:szCs w:val="23"/>
        </w:rPr>
        <w:t xml:space="preserve">Email: </w:t>
      </w:r>
    </w:p>
    <w:sectPr w:rsidR="004E2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52"/>
    <w:rsid w:val="00044152"/>
    <w:rsid w:val="00285B01"/>
    <w:rsid w:val="00403769"/>
    <w:rsid w:val="004E2DD8"/>
    <w:rsid w:val="006031C0"/>
    <w:rsid w:val="00AB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36B3-49F3-441A-9830-E0A8CB64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1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Sarah R.</dc:creator>
  <cp:keywords/>
  <dc:description/>
  <cp:lastModifiedBy>Olson, Sarah R.</cp:lastModifiedBy>
  <cp:revision>3</cp:revision>
  <dcterms:created xsi:type="dcterms:W3CDTF">2015-06-29T16:54:00Z</dcterms:created>
  <dcterms:modified xsi:type="dcterms:W3CDTF">2015-06-29T17:23:00Z</dcterms:modified>
</cp:coreProperties>
</file>